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TITAN Brand Kit — "Agentic Dispatch" Master Theme</w:t>
      </w:r>
    </w:p>
    <w:p>
      <w:pPr>
        <w:ind w:left="432"/>
      </w:pPr>
      <w:r>
        <w:rPr>
          <w:i/>
          <w:color w:val="666666"/>
        </w:rPr>
        <w:t>Canonical brand tokens for everything Harnoor ships under the TITAN podcast +</w:t>
      </w:r>
    </w:p>
    <w:p>
      <w:pPr>
        <w:ind w:left="432"/>
      </w:pPr>
      <w:r>
        <w:rPr>
          <w:i/>
          <w:color w:val="666666"/>
        </w:rPr>
        <w:t>newsletter + store stack. Adopted 2026-05-15. Pulled from the Agentic AI</w:t>
      </w:r>
    </w:p>
    <w:p>
      <w:pPr>
        <w:ind w:left="432"/>
      </w:pPr>
      <w:r>
        <w:rPr>
          <w:i/>
          <w:color w:val="666666"/>
        </w:rPr>
        <w:t>newsletter template which Harnoor flagged as the brand-of-record.</w:t>
      </w:r>
    </w:p>
    <w:p>
      <w:pPr>
        <w:spacing w:before="280" w:after="80"/>
      </w:pPr>
      <w:r>
        <w:rPr>
          <w:b/>
          <w:color w:val="141413"/>
          <w:sz w:val="36"/>
        </w:rPr>
        <w:t>Voice &amp; feel</w:t>
      </w:r>
    </w:p>
    <w:p>
      <w:pPr>
        <w:pStyle w:val="ListBullet"/>
      </w:pPr>
      <w:r>
        <w:rPr>
          <w:b/>
        </w:rPr>
        <w:t>Posture:</w:t>
      </w:r>
      <w:r>
        <w:t xml:space="preserve"> </w:t>
      </w:r>
      <w:r>
        <w:rPr>
          <w:i/>
        </w:rPr>
        <w:t>The Atlantic</w:t>
      </w:r>
      <w:r>
        <w:t xml:space="preserve"> meets a thoughtful builder. Editorial, never breathless.</w:t>
      </w:r>
    </w:p>
    <w:p>
      <w:pPr>
        <w:pStyle w:val="ListBullet"/>
      </w:pPr>
      <w:r>
        <w:rPr>
          <w:b/>
        </w:rPr>
        <w:t>Framing words:</w:t>
      </w:r>
      <w:r>
        <w:t xml:space="preserve"> "Dispatch", "Filed", "Curated", "Briefing" — not "blog post" or "feed".</w:t>
      </w:r>
    </w:p>
    <w:p>
      <w:pPr>
        <w:pStyle w:val="ListBullet"/>
      </w:pPr>
      <w:r>
        <w:rPr>
          <w:b/>
        </w:rPr>
        <w:t>Tone:</w:t>
      </w:r>
      <w:r>
        <w:t xml:space="preserve"> Long-sentence serif body, all-caps Helvetica labels for navigation/system text.</w:t>
      </w:r>
    </w:p>
    <w:p>
      <w:pPr>
        <w:pStyle w:val="ListBullet"/>
      </w:pPr>
      <w:r>
        <w:rPr>
          <w:b/>
        </w:rPr>
        <w:t>Stance:</w:t>
      </w:r>
      <w:r>
        <w:t xml:space="preserve"> "We've done the reading. Here's what matters." No clickbait. No FOMO.</w:t>
      </w:r>
    </w:p>
    <w:p>
      <w:pPr>
        <w:spacing w:before="280" w:after="80"/>
      </w:pPr>
      <w:r>
        <w:rPr>
          <w:b/>
          <w:color w:val="141413"/>
          <w:sz w:val="36"/>
        </w:rPr>
        <w:t>Color tokens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>Usage:</w:t>
      </w:r>
    </w:p>
    <w:p>
      <w:pPr>
        <w:pStyle w:val="ListBullet"/>
      </w:pPr>
      <w:r>
        <w:t>Cream as default page bg. Deep teal for footers + masthead bands.</w:t>
      </w:r>
    </w:p>
    <w:p>
      <w:pPr>
        <w:pStyle w:val="ListBullet"/>
      </w:pPr>
      <w:r>
        <w:t>Gold for prices, drop caps, callouts, hover states.</w:t>
      </w:r>
    </w:p>
    <w:p>
      <w:pPr>
        <w:pStyle w:val="ListBullet"/>
      </w:pPr>
      <w:r>
        <w:t>Teal for links, primary buttons, "dispatch" labels.</w:t>
      </w:r>
    </w:p>
    <w:p>
      <w:pPr>
        <w:spacing w:before="280" w:after="80"/>
      </w:pPr>
      <w:r>
        <w:rPr>
          <w:b/>
          <w:color w:val="141413"/>
          <w:sz w:val="36"/>
        </w:rPr>
        <w:t>Typography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Role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Font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Weight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Tracking</w:t>
            </w:r>
          </w:p>
        </w:tc>
      </w:tr>
      <w:tr>
        <w:tc>
          <w:tcPr>
            <w:tcW w:type="dxa" w:w="2160"/>
          </w:tcPr>
          <w:p>
            <w:r/>
            <w:r>
              <w:t>Display / H1</w:t>
            </w:r>
          </w:p>
        </w:tc>
        <w:tc>
          <w:tcPr>
            <w:tcW w:type="dxa" w:w="2160"/>
          </w:tcPr>
          <w:p>
            <w:r/>
            <w:r>
              <w:t>'Iowan Old Style', Georgia, serif</w:t>
            </w:r>
          </w:p>
        </w:tc>
        <w:tc>
          <w:tcPr>
            <w:tcW w:type="dxa" w:w="2160"/>
          </w:tcPr>
          <w:p>
            <w:r/>
            <w:r>
              <w:t>700</w:t>
            </w:r>
          </w:p>
        </w:tc>
        <w:tc>
          <w:tcPr>
            <w:tcW w:type="dxa" w:w="2160"/>
          </w:tcPr>
          <w:p>
            <w:r/>
            <w:r>
              <w:t>-0.012em</w:t>
            </w:r>
          </w:p>
        </w:tc>
      </w:tr>
      <w:tr>
        <w:tc>
          <w:tcPr>
            <w:tcW w:type="dxa" w:w="2160"/>
          </w:tcPr>
          <w:p>
            <w:r/>
            <w:r>
              <w:t>Body</w:t>
            </w:r>
          </w:p>
        </w:tc>
        <w:tc>
          <w:tcPr>
            <w:tcW w:type="dxa" w:w="2160"/>
          </w:tcPr>
          <w:p>
            <w:r/>
            <w:r>
              <w:t>'Iowan Old Style', Georgia, serif</w:t>
            </w:r>
          </w:p>
        </w:tc>
        <w:tc>
          <w:tcPr>
            <w:tcW w:type="dxa" w:w="2160"/>
          </w:tcPr>
          <w:p>
            <w:r/>
            <w:r>
              <w:t>400</w:t>
            </w:r>
          </w:p>
        </w:tc>
        <w:tc>
          <w:tcPr>
            <w:tcW w:type="dxa" w:w="2160"/>
          </w:tcPr>
          <w:p>
            <w:r/>
            <w:r>
              <w:t>normal</w:t>
            </w:r>
          </w:p>
        </w:tc>
      </w:tr>
      <w:tr>
        <w:tc>
          <w:tcPr>
            <w:tcW w:type="dxa" w:w="2160"/>
          </w:tcPr>
          <w:p>
            <w:r/>
            <w:r>
              <w:t>All-caps system label</w:t>
            </w:r>
          </w:p>
        </w:tc>
        <w:tc>
          <w:tcPr>
            <w:tcW w:type="dxa" w:w="2160"/>
          </w:tcPr>
          <w:p>
            <w:r/>
            <w:r>
              <w:t>'Helvetica Neue', Arial, sans-serif</w:t>
            </w:r>
          </w:p>
        </w:tc>
        <w:tc>
          <w:tcPr>
            <w:tcW w:type="dxa" w:w="2160"/>
          </w:tcPr>
          <w:p>
            <w:r/>
            <w:r>
              <w:t>900</w:t>
            </w:r>
          </w:p>
        </w:tc>
        <w:tc>
          <w:tcPr>
            <w:tcW w:type="dxa" w:w="2160"/>
          </w:tcPr>
          <w:p>
            <w:r/>
            <w:r>
              <w:t>0.25-0.30em</w:t>
            </w:r>
          </w:p>
        </w:tc>
      </w:tr>
      <w:tr>
        <w:tc>
          <w:tcPr>
            <w:tcW w:type="dxa" w:w="2160"/>
          </w:tcPr>
          <w:p>
            <w:r/>
            <w:r>
              <w:t>Drop cap (first letter of hero para)</w:t>
            </w:r>
          </w:p>
        </w:tc>
        <w:tc>
          <w:tcPr>
            <w:tcW w:type="dxa" w:w="2160"/>
          </w:tcPr>
          <w:p>
            <w:r/>
            <w:r>
              <w:t>serif 700</w:t>
            </w:r>
          </w:p>
        </w:tc>
        <w:tc>
          <w:tcPr>
            <w:tcW w:type="dxa" w:w="2160"/>
          </w:tcPr>
          <w:p>
            <w:r/>
            <w:r>
              <w:t>66px / .82 line-height</w:t>
            </w:r>
          </w:p>
        </w:tc>
        <w:tc>
          <w:tcPr>
            <w:tcW w:type="dxa" w:w="2160"/>
          </w:tcPr>
          <w:p>
            <w:r/>
            <w:r>
              <w:t>inline-float-left</w:t>
            </w:r>
          </w:p>
        </w:tc>
      </w:tr>
      <w:tr>
        <w:tc>
          <w:tcPr>
            <w:tcW w:type="dxa" w:w="2160"/>
          </w:tcPr>
          <w:p>
            <w:r/>
            <w:r>
              <w:t>Issue stamp</w:t>
            </w:r>
          </w:p>
        </w:tc>
        <w:tc>
          <w:tcPr>
            <w:tcW w:type="dxa" w:w="2160"/>
          </w:tcPr>
          <w:p>
            <w:r/>
            <w:r>
              <w:t>'Helvetica Neue', Arial</w:t>
            </w:r>
          </w:p>
        </w:tc>
        <w:tc>
          <w:tcPr>
            <w:tcW w:type="dxa" w:w="2160"/>
          </w:tcPr>
          <w:p>
            <w:r/>
            <w:r>
              <w:t>900</w:t>
            </w:r>
          </w:p>
        </w:tc>
        <w:tc>
          <w:tcPr>
            <w:tcW w:type="dxa" w:w="2160"/>
          </w:tcPr>
          <w:p>
            <w:r/>
            <w:r>
              <w:t>0.30em</w:t>
            </w:r>
          </w:p>
        </w:tc>
      </w:tr>
    </w:tbl>
    <w:p/>
    <w:p>
      <w:r>
        <w:t>Drop-cap recipe (the visual signature):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spacing w:before="280" w:after="80"/>
      </w:pPr>
      <w:r>
        <w:rPr>
          <w:b/>
          <w:color w:val="141413"/>
          <w:sz w:val="36"/>
        </w:rPr>
        <w:t>Layout signatures</w:t>
      </w:r>
    </w:p>
    <w:p>
      <w:pPr>
        <w:pStyle w:val="ListNumber"/>
      </w:pPr>
      <w:r>
        <w:rPr>
          <w:b/>
        </w:rPr>
        <w:t>Masthead band</w:t>
      </w:r>
      <w:r>
        <w:t xml:space="preserve">: full-width deep teal </w:t>
      </w:r>
      <w:r>
        <w:t>#0a3030</w:t>
      </w:r>
      <w:r>
        <w:t xml:space="preserve"> strip with 900-weight all-caps label,</w:t>
      </w:r>
    </w:p>
    <w:p>
      <w:r>
        <w:t xml:space="preserve">   </w:t>
      </w:r>
      <w:r>
        <w:t>DISPATCH #042 · Friday · May 15 · 2026</w:t>
      </w:r>
      <w:r>
        <w:t xml:space="preserve"> style — gold for the date inside.</w:t>
      </w:r>
    </w:p>
    <w:p>
      <w:pPr>
        <w:pStyle w:val="ListNumber"/>
      </w:pPr>
      <w:r>
        <w:rPr>
          <w:b/>
        </w:rPr>
        <w:t>Headline rule</w:t>
      </w:r>
      <w:r>
        <w:t>: H1 in deep teal serif, italic Georgia subtitle "filed [date]"</w:t>
      </w:r>
    </w:p>
    <w:p>
      <w:r>
        <w:t xml:space="preserve">   with gold underline (</w:t>
      </w:r>
      <w:r>
        <w:t>border-bottom: 2px solid #d4a417</w:t>
      </w:r>
      <w:r>
        <w:t>).</w:t>
      </w:r>
    </w:p>
    <w:p>
      <w:pPr>
        <w:pStyle w:val="ListNumber"/>
      </w:pPr>
      <w:r>
        <w:rPr>
          <w:b/>
        </w:rPr>
        <w:t>Story numbering</w:t>
      </w:r>
      <w:r>
        <w:t>: gold numbers (</w:t>
      </w:r>
      <w:r>
        <w:t>#d4a417</w:t>
      </w:r>
      <w:r>
        <w:t>) inline before story headlines.</w:t>
      </w:r>
    </w:p>
    <w:p>
      <w:pPr>
        <w:pStyle w:val="ListNumber"/>
      </w:pPr>
      <w:r>
        <w:rPr>
          <w:b/>
        </w:rPr>
        <w:t>Story label</w:t>
      </w:r>
      <w:r>
        <w:t xml:space="preserve">: all-caps tiny tracking — </w:t>
      </w:r>
      <w:r>
        <w:t>ANTHROPIC · LAUNCH</w:t>
      </w:r>
      <w:r>
        <w:t xml:space="preserve"> style — teal+gold.</w:t>
      </w:r>
    </w:p>
    <w:p>
      <w:pPr>
        <w:pStyle w:val="ListNumber"/>
      </w:pPr>
      <w:r>
        <w:rPr>
          <w:b/>
        </w:rPr>
        <w:t>Summary</w:t>
      </w:r>
      <w:r>
        <w:t>: gold left border (</w:t>
      </w:r>
      <w:r>
        <w:t>border-left: 3px solid #d4a417</w:t>
      </w:r>
      <w:r>
        <w:t>) on the summary paragraph.</w:t>
      </w:r>
    </w:p>
    <w:p>
      <w:pPr>
        <w:pStyle w:val="ListNumber"/>
      </w:pPr>
      <w:r>
        <w:rPr>
          <w:b/>
        </w:rPr>
        <w:t>Footer</w:t>
      </w:r>
      <w:r>
        <w:t>: deep teal bar with gold links. UPPERCASE.</w:t>
      </w:r>
    </w:p>
    <w:p>
      <w:pPr>
        <w:spacing w:before="280" w:after="80"/>
      </w:pPr>
      <w:r>
        <w:rPr>
          <w:b/>
          <w:color w:val="141413"/>
          <w:sz w:val="36"/>
        </w:rPr>
        <w:t>Reuse across surfaces</w:t>
      </w:r>
    </w:p>
    <w:p>
      <w:r>
        <w:t>Every TITAN-facing surface uses this kit: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Surface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Adoption</w:t>
            </w:r>
          </w:p>
        </w:tc>
      </w:tr>
      <w:tr>
        <w:tc>
          <w:tcPr>
            <w:tcW w:type="dxa" w:w="4320"/>
          </w:tcPr>
          <w:p>
            <w:r/>
            <w:r>
              <w:t>Agentic AI newsletter</w:t>
            </w:r>
          </w:p>
        </w:tc>
        <w:tc>
          <w:tcPr>
            <w:tcW w:type="dxa" w:w="4320"/>
          </w:tcPr>
          <w:p>
            <w:r/>
            <w:r>
              <w:t>Already (it's the source).</w:t>
            </w:r>
          </w:p>
        </w:tc>
      </w:tr>
      <w:tr>
        <w:tc>
          <w:tcPr>
            <w:tcW w:type="dxa" w:w="4320"/>
          </w:tcPr>
          <w:p>
            <w:r/>
            <w:r>
              <w:t>Podcast landing</w:t>
            </w:r>
          </w:p>
        </w:tc>
        <w:tc>
          <w:tcPr>
            <w:tcW w:type="dxa" w:w="4320"/>
          </w:tcPr>
          <w:p>
            <w:r/>
            <w:r>
              <w:t>Migrating 2026-05-15.</w:t>
            </w:r>
          </w:p>
        </w:tc>
      </w:tr>
      <w:tr>
        <w:tc>
          <w:tcPr>
            <w:tcW w:type="dxa" w:w="4320"/>
          </w:tcPr>
          <w:p>
            <w:r/>
            <w:r>
              <w:t>Podcast submission center</w:t>
            </w:r>
          </w:p>
        </w:tc>
        <w:tc>
          <w:tcPr>
            <w:tcW w:type="dxa" w:w="4320"/>
          </w:tcPr>
          <w:p>
            <w:r/>
            <w:r>
              <w:t>Migrating 2026-05-15.</w:t>
            </w:r>
          </w:p>
        </w:tc>
      </w:tr>
      <w:tr>
        <w:tc>
          <w:tcPr>
            <w:tcW w:type="dxa" w:w="4320"/>
          </w:tcPr>
          <w:p>
            <w:r/>
            <w:r>
              <w:t>Store page</w:t>
            </w:r>
          </w:p>
        </w:tc>
        <w:tc>
          <w:tcPr>
            <w:tcW w:type="dxa" w:w="4320"/>
          </w:tcPr>
          <w:p>
            <w:r/>
            <w:r>
              <w:t>New build 2026-05-15.</w:t>
            </w:r>
          </w:p>
        </w:tc>
      </w:tr>
      <w:tr>
        <w:tc>
          <w:tcPr>
            <w:tcW w:type="dxa" w:w="4320"/>
          </w:tcPr>
          <w:p>
            <w:r/>
            <w:r>
              <w:t>Episode 1 audio script</w:t>
            </w:r>
          </w:p>
        </w:tc>
        <w:tc>
          <w:tcPr>
            <w:tcW w:type="dxa" w:w="4320"/>
          </w:tcPr>
          <w:p>
            <w:r/>
            <w:r>
              <w:t>Cross-promo cadence matches "dispatch" voice.</w:t>
            </w:r>
          </w:p>
        </w:tc>
      </w:tr>
      <w:tr>
        <w:tc>
          <w:tcPr>
            <w:tcW w:type="dxa" w:w="4320"/>
          </w:tcPr>
          <w:p>
            <w:r/>
            <w:r>
              <w:t>The Agent Stack Daily newsletter</w:t>
            </w:r>
          </w:p>
        </w:tc>
        <w:tc>
          <w:tcPr>
            <w:tcW w:type="dxa" w:w="4320"/>
          </w:tcPr>
          <w:p>
            <w:r/>
            <w:r>
              <w:t>Inherits via shared template engine.</w:t>
            </w:r>
          </w:p>
        </w:tc>
      </w:tr>
      <w:tr>
        <w:tc>
          <w:tcPr>
            <w:tcW w:type="dxa" w:w="4320"/>
          </w:tcPr>
          <w:p>
            <w:r/>
            <w:r>
              <w:t>Future products (ebooks, prompts, courses)</w:t>
            </w:r>
          </w:p>
        </w:tc>
        <w:tc>
          <w:tcPr>
            <w:tcW w:type="dxa" w:w="4320"/>
          </w:tcPr>
          <w:p>
            <w:r/>
            <w:r>
              <w:t>Cover art uses gold+teal on cream.</w:t>
            </w:r>
          </w:p>
        </w:tc>
      </w:tr>
    </w:tbl>
    <w:p/>
    <w:p>
      <w:r>
        <w:t>The JARVIS / TITAN dashboards keep their cool-blue chat-first UI — those are</w:t>
      </w:r>
    </w:p>
    <w:p>
      <w:r>
        <w:rPr>
          <w:b/>
        </w:rPr>
        <w:t>operator surfaces</w:t>
      </w:r>
      <w:r>
        <w:t xml:space="preserve">, not customer-facing. Brand kit applies to </w:t>
      </w:r>
      <w:r>
        <w:rPr>
          <w:b/>
        </w:rPr>
        <w:t>public</w:t>
      </w:r>
      <w:r>
        <w:t xml:space="preserve"> surfaces.</w:t>
      </w:r>
    </w:p>
    <w:p>
      <w:pPr>
        <w:spacing w:before="280" w:after="80"/>
      </w:pPr>
      <w:r>
        <w:rPr>
          <w:b/>
          <w:color w:val="141413"/>
          <w:sz w:val="36"/>
        </w:rPr>
        <w:t>Cross-promo cadence (every episode + newsletter + store page)</w:t>
      </w:r>
    </w:p>
    <w:p>
      <w:r>
        <w:t>In this order, mentioned at least once:</w:t>
      </w:r>
    </w:p>
    <w:p>
      <w:pPr>
        <w:pStyle w:val="ListNumber"/>
      </w:pPr>
      <w:r>
        <w:rPr>
          <w:b/>
        </w:rPr>
        <w:t>Newsletter</w:t>
      </w:r>
      <w:r>
        <w:t xml:space="preserve"> — </w:t>
      </w:r>
      <w:r>
        <w:rPr>
          <w:i/>
        </w:rPr>
        <w:t>"Subscribe to The Agent Stack Daily — same intel, lands in your inbox 13:00 UTC every weekday."</w:t>
      </w:r>
    </w:p>
    <w:p>
      <w:pPr>
        <w:pStyle w:val="ListNumber"/>
      </w:pPr>
      <w:r>
        <w:rPr>
          <w:b/>
        </w:rPr>
        <w:t>Website</w:t>
      </w:r>
      <w:r>
        <w:t xml:space="preserve"> — </w:t>
      </w:r>
      <w:r>
        <w:rPr>
          <w:i/>
        </w:rPr>
        <w:t>"jarvis.livegroweveryday.com — every episode + the archive."</w:t>
      </w:r>
      <w:r>
        <w:t xml:space="preserve"> (Note: domain still under consideration.)</w:t>
      </w:r>
    </w:p>
    <w:p>
      <w:pPr>
        <w:pStyle w:val="ListNumber"/>
      </w:pPr>
      <w:r>
        <w:rPr>
          <w:b/>
        </w:rPr>
        <w:t>Store</w:t>
      </w:r>
      <w:r>
        <w:t xml:space="preserve"> — </w:t>
      </w:r>
      <w:r>
        <w:rPr>
          <w:i/>
        </w:rPr>
        <w:t>"The Agent Stack Guide is the deep version of what we cover on the show. agentstack.silentinfinity.com/store"</w:t>
      </w:r>
    </w:p>
    <w:p>
      <w:pPr>
        <w:pStyle w:val="ListNumber"/>
      </w:pPr>
      <w:r>
        <w:rPr>
          <w:b/>
        </w:rPr>
        <w:t>Specific product</w:t>
      </w:r>
      <w:r>
        <w:t xml:space="preserve"> of the week (rotates):</w:t>
      </w:r>
    </w:p>
    <w:p>
      <w:pPr>
        <w:pStyle w:val="ListBullet"/>
      </w:pPr>
      <w:r>
        <w:t>Week 1: The Guide subscription</w:t>
      </w:r>
    </w:p>
    <w:p>
      <w:pPr>
        <w:pStyle w:val="ListBullet"/>
      </w:pPr>
      <w:r>
        <w:t>Week 2: The Prompt Pack (50 production-tested agent prompts)</w:t>
      </w:r>
    </w:p>
    <w:p>
      <w:pPr>
        <w:pStyle w:val="ListBullet"/>
      </w:pPr>
      <w:r>
        <w:t>Week 3: The Postmortem Ebook (12 real agent-failure case studies)</w:t>
      </w:r>
    </w:p>
    <w:p>
      <w:pPr>
        <w:pStyle w:val="ListBullet"/>
      </w:pPr>
      <w:r>
        <w:t>Week 4: The Annual Bundle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