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OMEN — Spend Tracker</w:t>
      </w:r>
    </w:p>
    <w:p>
      <w:r>
        <w:rPr>
          <w:b/>
        </w:rPr>
        <w:t>Budget:</w:t>
      </w:r>
      <w:r>
        <w:t xml:space="preserve"> $25 hard cap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Running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Single-file HTML build (no image/audio gen)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S3 upload (negligible)</w:t>
            </w:r>
          </w:p>
        </w:tc>
        <w:tc>
          <w:tcPr>
            <w:tcW w:type="dxa" w:w="2160"/>
          </w:tcPr>
          <w:p>
            <w:r/>
            <w:r>
              <w:t>~$0.00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CloudFront distro creation (free tier)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Route53 ALIAS (within existing zone)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</w:tr>
    </w:tbl>
    <w:p/>
    <w:p>
      <w:r>
        <w:rPr>
          <w:b/>
        </w:rPr>
        <w:t>Total:</w:t>
      </w:r>
      <w:r>
        <w:t xml:space="preserve"> $0.00 / $25.00</w:t>
      </w:r>
    </w:p>
    <w:p>
      <w:r>
        <w:t>Notes: All visuals achieved via CSS (gradients, text-shadow glow, SVG sigils generated inline). No gpt-image-1 or ElevenLabs spend needed for MVP — the typography itself is the asset.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