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Kimi.ai PhD Audit Response — Silent Infinity 2026-04-23</w:t>
      </w:r>
    </w:p>
    <w:p>
      <w:r>
        <w:t>received: 2026-04-22T23:48 UTC</w:t>
      </w:r>
    </w:p>
    <w:p>
      <w:r>
        <w:t>source: F:\Downloads\silentinfinity_audit_report.pdf (225 KB)</w:t>
      </w:r>
    </w:p>
    <w:p>
      <w:r>
        <w:t>extracted: F:\Downloads\silentinfinity_audit_report.txt (36 KB)</w:t>
      </w:r>
    </w:p>
    <w:p>
      <w:r>
        <w:t>author: AI Research Analyst (Kimi.ai)</w:t>
      </w:r>
    </w:p>
    <w:p>
      <w:r>
        <w:t>methodology: Live Interaction Testing + 40+ peer-reviewed sources (2023-2026)</w:t>
      </w:r>
    </w:p>
    <w:p>
      <w:pPr>
        <w:spacing w:before="280" w:after="80"/>
      </w:pPr>
      <w:r>
        <w:rPr>
          <w:b/>
          <w:color w:val="141413"/>
          <w:sz w:val="36"/>
        </w:rPr>
        <w:t>Audit scorecard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Dimension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Score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Grade</w:t>
            </w:r>
          </w:p>
        </w:tc>
      </w:tr>
      <w:tr>
        <w:tc>
          <w:tcPr>
            <w:tcW w:type="dxa" w:w="2880"/>
          </w:tcPr>
          <w:p>
            <w:r/>
            <w:r>
              <w:t>UX/UI Design</w:t>
            </w:r>
          </w:p>
        </w:tc>
        <w:tc>
          <w:tcPr>
            <w:tcW w:type="dxa" w:w="2880"/>
          </w:tcPr>
          <w:p>
            <w:r/>
            <w:r>
              <w:t>7.2/10</w:t>
            </w:r>
          </w:p>
        </w:tc>
        <w:tc>
          <w:tcPr>
            <w:tcW w:type="dxa" w:w="2880"/>
          </w:tcPr>
          <w:p>
            <w:r/>
            <w:r>
              <w:t>B+</w:t>
            </w:r>
          </w:p>
        </w:tc>
      </w:tr>
      <w:tr>
        <w:tc>
          <w:tcPr>
            <w:tcW w:type="dxa" w:w="2880"/>
          </w:tcPr>
          <w:p>
            <w:r/>
            <w:r>
              <w:t>Safety &amp; Crisis Architecture</w:t>
            </w:r>
          </w:p>
        </w:tc>
        <w:tc>
          <w:tcPr>
            <w:tcW w:type="dxa" w:w="2880"/>
          </w:tcPr>
          <w:p>
            <w:r/>
            <w:r>
              <w:t>7.8/10</w:t>
            </w:r>
          </w:p>
        </w:tc>
        <w:tc>
          <w:tcPr>
            <w:tcW w:type="dxa" w:w="2880"/>
          </w:tcPr>
          <w:p>
            <w:r/>
            <w:r>
              <w:t>B+</w:t>
            </w:r>
          </w:p>
        </w:tc>
      </w:tr>
      <w:tr>
        <w:tc>
          <w:tcPr>
            <w:tcW w:type="dxa" w:w="2880"/>
          </w:tcPr>
          <w:p>
            <w:r/>
            <w:r>
              <w:t>Clinical/Therapeutic Efficacy</w:t>
            </w:r>
          </w:p>
        </w:tc>
        <w:tc>
          <w:tcPr>
            <w:tcW w:type="dxa" w:w="2880"/>
          </w:tcPr>
          <w:p>
            <w:r/>
            <w:r>
              <w:t>5.5/10</w:t>
            </w:r>
          </w:p>
        </w:tc>
        <w:tc>
          <w:tcPr>
            <w:tcW w:type="dxa" w:w="2880"/>
          </w:tcPr>
          <w:p>
            <w:r/>
            <w:r>
              <w:t>C</w:t>
            </w:r>
          </w:p>
        </w:tc>
      </w:tr>
      <w:tr>
        <w:tc>
          <w:tcPr>
            <w:tcW w:type="dxa" w:w="2880"/>
          </w:tcPr>
          <w:p>
            <w:r/>
            <w:r>
              <w:t>Technical Implementation</w:t>
            </w:r>
          </w:p>
        </w:tc>
        <w:tc>
          <w:tcPr>
            <w:tcW w:type="dxa" w:w="2880"/>
          </w:tcPr>
          <w:p>
            <w:r/>
            <w:r>
              <w:t>6.5/10</w:t>
            </w:r>
          </w:p>
        </w:tc>
        <w:tc>
          <w:tcPr>
            <w:tcW w:type="dxa" w:w="2880"/>
          </w:tcPr>
          <w:p>
            <w:r/>
            <w:r>
              <w:t>C+</w:t>
            </w:r>
          </w:p>
        </w:tc>
      </w:tr>
      <w:tr>
        <w:tc>
          <w:tcPr>
            <w:tcW w:type="dxa" w:w="2880"/>
          </w:tcPr>
          <w:p>
            <w:r/>
            <w:r>
              <w:t>Ethics &amp; Regulatory Compliance</w:t>
            </w:r>
          </w:p>
        </w:tc>
        <w:tc>
          <w:tcPr>
            <w:tcW w:type="dxa" w:w="2880"/>
          </w:tcPr>
          <w:p>
            <w:r/>
            <w:r>
              <w:t>6.0/10</w:t>
            </w:r>
          </w:p>
        </w:tc>
        <w:tc>
          <w:tcPr>
            <w:tcW w:type="dxa" w:w="2880"/>
          </w:tcPr>
          <w:p>
            <w:r/>
            <w:r>
              <w:t>C</w:t>
            </w:r>
          </w:p>
        </w:tc>
      </w:tr>
      <w:tr>
        <w:tc>
          <w:tcPr>
            <w:tcW w:type="dxa" w:w="2880"/>
          </w:tcPr>
          <w:p>
            <w:r/>
            <w:r>
              <w:rPr>
                <w:b/>
              </w:rPr>
              <w:t>OVERALL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6.6/10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C+</w:t>
            </w:r>
          </w:p>
        </w:tc>
      </w:tr>
    </w:tbl>
    <w:p/>
    <w:p>
      <w:r>
        <w:t>Final verdict: "Philosophically sophisticated but clinically unvalidated... a promising prototype with a strong design philosophy that could become a meaningful tool in the mental wellness ecosystem. But in its current state, it is an experiment — not a service."</w:t>
      </w:r>
    </w:p>
    <w:p>
      <w:pPr>
        <w:spacing w:before="280" w:after="80"/>
      </w:pPr>
      <w:r>
        <w:rPr>
          <w:b/>
          <w:color w:val="141413"/>
          <w:sz w:val="36"/>
        </w:rPr>
        <w:t>What the audit validated (keep building on these)</w:t>
      </w:r>
    </w:p>
    <w:p>
      <w:pPr>
        <w:pStyle w:val="ListBullet"/>
      </w:pPr>
      <w:r>
        <w:t>Contemplative design philosophy (no gamification, streaks, push notifications) — "extraordinary and laudable" from a clinical psychology perspective</w:t>
      </w:r>
    </w:p>
    <w:p>
      <w:pPr>
        <w:pStyle w:val="ListBullet"/>
      </w:pPr>
      <w:r>
        <w:t>Safety-first stance — crisis safety page "among the most transparent in the industry"</w:t>
      </w:r>
    </w:p>
    <w:p>
      <w:pPr>
        <w:pStyle w:val="ListBullet"/>
      </w:pPr>
      <w:r>
        <w:t>Rotating emotional vocabulary including "pretending" / "overwhelmed" — "sophisticated design choice that deserves academic attention"</w:t>
      </w:r>
    </w:p>
    <w:p>
      <w:pPr>
        <w:pStyle w:val="ListBullet"/>
      </w:pPr>
      <w:r>
        <w:t>Ocean soundscape multimodal design</w:t>
      </w:r>
    </w:p>
    <w:p>
      <w:pPr>
        <w:pStyle w:val="ListBullet"/>
      </w:pPr>
      <w:r>
        <w:t>Voice mode — "low-cognitive-load interaction" recommended by Smashing Magazine empathy framework</w:t>
      </w:r>
    </w:p>
    <w:p>
      <w:pPr>
        <w:pStyle w:val="ListBullet"/>
      </w:pPr>
      <w:r>
        <w:t>"Slower" button — "temporal design innovation"</w:t>
      </w:r>
    </w:p>
    <w:p>
      <w:pPr>
        <w:pStyle w:val="ListBullet"/>
      </w:pPr>
      <w:r>
        <w:t>"Sit with me" — embodies Carl Rogers' unconditional positive regard</w:t>
      </w:r>
    </w:p>
    <w:p>
      <w:pPr>
        <w:pStyle w:val="ListBullet"/>
      </w:pPr>
      <w:r>
        <w:t>Mirror metaphor — "reflexive AI positioning" avoids therapeutic-authority trap</w:t>
      </w:r>
    </w:p>
    <w:p>
      <w:pPr>
        <w:pStyle w:val="ListBullet"/>
      </w:pPr>
      <w:r>
        <w:t>Age policy (13+) and data transparency — "exceeds typical standards"</w:t>
      </w:r>
    </w:p>
    <w:p>
      <w:pPr>
        <w:spacing w:before="280" w:after="80"/>
      </w:pPr>
      <w:r>
        <w:rPr>
          <w:b/>
          <w:color w:val="141413"/>
          <w:sz w:val="36"/>
        </w:rPr>
        <w:t>What the audit flagged (shipping now + filed as T-numbers)</w:t>
      </w:r>
    </w:p>
    <w:p>
      <w:pPr>
        <w:spacing w:before="200" w:after="80"/>
      </w:pPr>
      <w:r>
        <w:rPr>
          <w:b/>
          <w:color w:val="141413"/>
          <w:sz w:val="28"/>
        </w:rPr>
        <w:t>HIGH PRIORITY — Safety-Critical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Title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State</w:t>
            </w:r>
          </w:p>
        </w:tc>
      </w:tr>
      <w:tr>
        <w:tc>
          <w:tcPr>
            <w:tcW w:type="dxa" w:w="2880"/>
          </w:tcPr>
          <w:p>
            <w:r/>
            <w:r>
              <w:t>R1</w:t>
            </w:r>
          </w:p>
        </w:tc>
        <w:tc>
          <w:tcPr>
            <w:tcW w:type="dxa" w:w="2880"/>
          </w:tcPr>
          <w:p>
            <w:r/>
            <w:r>
              <w:t>Independent crisis detection module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PARTIAL — already shipped</w:t>
            </w:r>
            <w:r>
              <w:t xml:space="preserve"> (R0175 + R0175b, Haiku tool_use classifier running fire-and-forget alongside regex)</w:t>
            </w:r>
          </w:p>
        </w:tc>
      </w:tr>
      <w:tr>
        <w:tc>
          <w:tcPr>
            <w:tcW w:type="dxa" w:w="2880"/>
          </w:tcPr>
          <w:p>
            <w:r/>
            <w:r>
              <w:t>R2</w:t>
            </w:r>
          </w:p>
        </w:tc>
        <w:tc>
          <w:tcPr>
            <w:tcW w:type="dxa" w:w="2880"/>
          </w:tcPr>
          <w:p>
            <w:r/>
            <w:r>
              <w:t>Fix WCAG accessibility</w:t>
            </w:r>
          </w:p>
        </w:tc>
        <w:tc>
          <w:tcPr>
            <w:tcW w:type="dxa" w:w="2880"/>
          </w:tcPr>
          <w:p>
            <w:r/>
            <w:r>
              <w:rPr>
                <w:b/>
              </w:rPr>
              <w:t>PARTIAL SHIPPED</w:t>
            </w:r>
            <w:r>
              <w:t xml:space="preserve"> (R0185 — prefers-reduced-motion + body.iv-reduce-motion). Glassmorphism contrast fix + toggle button = T026</w:t>
            </w:r>
          </w:p>
        </w:tc>
      </w:tr>
      <w:tr>
        <w:tc>
          <w:tcPr>
            <w:tcW w:type="dxa" w:w="2880"/>
          </w:tcPr>
          <w:p>
            <w:r/>
            <w:r>
              <w:t>R3</w:t>
            </w:r>
          </w:p>
        </w:tc>
        <w:tc>
          <w:tcPr>
            <w:tcW w:type="dxa" w:w="2880"/>
          </w:tcPr>
          <w:p>
            <w:r/>
            <w:r>
              <w:t>User data controls (delete all, granular retention)</w:t>
            </w:r>
          </w:p>
        </w:tc>
        <w:tc>
          <w:tcPr>
            <w:tcW w:type="dxa" w:w="2880"/>
          </w:tcPr>
          <w:p>
            <w:r/>
            <w:r>
              <w:t>T027 filed</w:t>
            </w:r>
          </w:p>
        </w:tc>
      </w:tr>
      <w:tr>
        <w:tc>
          <w:tcPr>
            <w:tcW w:type="dxa" w:w="2880"/>
          </w:tcPr>
          <w:p>
            <w:r/>
            <w:r>
              <w:t>R4</w:t>
            </w:r>
          </w:p>
        </w:tc>
        <w:tc>
          <w:tcPr>
            <w:tcW w:type="dxa" w:w="2880"/>
          </w:tcPr>
          <w:p>
            <w:r/>
            <w:r>
              <w:t>Session persistence ("Your week" ERR_ABORTED during audit)</w:t>
            </w:r>
          </w:p>
        </w:tc>
        <w:tc>
          <w:tcPr>
            <w:tcW w:type="dxa" w:w="2880"/>
          </w:tcPr>
          <w:p>
            <w:r/>
            <w:r>
              <w:t>T028 filed — investigate refresh survival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MEDIUM PRIORITY — Clinical Enhancement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Title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State</w:t>
            </w:r>
          </w:p>
        </w:tc>
      </w:tr>
      <w:tr>
        <w:tc>
          <w:tcPr>
            <w:tcW w:type="dxa" w:w="2880"/>
          </w:tcPr>
          <w:p>
            <w:r/>
            <w:r>
              <w:t>R5</w:t>
            </w:r>
          </w:p>
        </w:tc>
        <w:tc>
          <w:tcPr>
            <w:tcW w:type="dxa" w:w="2880"/>
          </w:tcPr>
          <w:p>
            <w:r/>
            <w:r>
              <w:t>Publish therapeutic framework + clinical advisor</w:t>
            </w:r>
          </w:p>
        </w:tc>
        <w:tc>
          <w:tcPr>
            <w:tcW w:type="dxa" w:w="2880"/>
          </w:tcPr>
          <w:p>
            <w:r/>
            <w:r>
              <w:t>T029 filed</w:t>
            </w:r>
          </w:p>
        </w:tc>
      </w:tr>
      <w:tr>
        <w:tc>
          <w:tcPr>
            <w:tcW w:type="dxa" w:w="2880"/>
          </w:tcPr>
          <w:p>
            <w:r/>
            <w:r>
              <w:t>R6</w:t>
            </w:r>
          </w:p>
        </w:tc>
        <w:tc>
          <w:tcPr>
            <w:tcW w:type="dxa" w:w="2880"/>
          </w:tcPr>
          <w:p>
            <w:r/>
            <w:r>
              <w:t>PHQ-9/GAD-7 optional self-assessment</w:t>
            </w:r>
          </w:p>
        </w:tc>
        <w:tc>
          <w:tcPr>
            <w:tcW w:type="dxa" w:w="2880"/>
          </w:tcPr>
          <w:p>
            <w:r/>
            <w:r>
              <w:t>T030 filed</w:t>
            </w:r>
          </w:p>
        </w:tc>
      </w:tr>
      <w:tr>
        <w:tc>
          <w:tcPr>
            <w:tcW w:type="dxa" w:w="2880"/>
          </w:tcPr>
          <w:p>
            <w:r/>
            <w:r>
              <w:t>R7</w:t>
            </w:r>
          </w:p>
        </w:tc>
        <w:tc>
          <w:tcPr>
            <w:tcW w:type="dxa" w:w="2880"/>
          </w:tcPr>
          <w:p>
            <w:r/>
            <w:r>
              <w:t>"Real-world connection" prompts</w:t>
            </w:r>
          </w:p>
        </w:tc>
        <w:tc>
          <w:tcPr>
            <w:tcW w:type="dxa" w:w="2880"/>
          </w:tcPr>
          <w:p>
            <w:r/>
            <w:r>
              <w:t>T031 filed</w:t>
            </w:r>
          </w:p>
        </w:tc>
      </w:tr>
      <w:tr>
        <w:tc>
          <w:tcPr>
            <w:tcW w:type="dxa" w:w="2880"/>
          </w:tcPr>
          <w:p>
            <w:r/>
            <w:r>
              <w:t>R8</w:t>
            </w:r>
          </w:p>
        </w:tc>
        <w:tc>
          <w:tcPr>
            <w:tcW w:type="dxa" w:w="2880"/>
          </w:tcPr>
          <w:p>
            <w:r/>
            <w:r>
              <w:t>Usage pattern awareness (anti-dependency)</w:t>
            </w:r>
          </w:p>
        </w:tc>
        <w:tc>
          <w:tcPr>
            <w:tcW w:type="dxa" w:w="2880"/>
          </w:tcPr>
          <w:p>
            <w:r/>
            <w:r>
              <w:t>T032 filed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LOWER PRIORITY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Rec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Title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State</w:t>
            </w:r>
          </w:p>
        </w:tc>
      </w:tr>
      <w:tr>
        <w:tc>
          <w:tcPr>
            <w:tcW w:type="dxa" w:w="2880"/>
          </w:tcPr>
          <w:p>
            <w:r/>
            <w:r>
              <w:t>R9</w:t>
            </w:r>
          </w:p>
        </w:tc>
        <w:tc>
          <w:tcPr>
            <w:tcW w:type="dxa" w:w="2880"/>
          </w:tcPr>
          <w:p>
            <w:r/>
            <w:r>
              <w:t>Multi-language</w:t>
            </w:r>
          </w:p>
        </w:tc>
        <w:tc>
          <w:tcPr>
            <w:tcW w:type="dxa" w:w="2880"/>
          </w:tcPr>
          <w:p>
            <w:r/>
            <w:r>
              <w:t>T033 filed</w:t>
            </w:r>
          </w:p>
        </w:tc>
      </w:tr>
      <w:tr>
        <w:tc>
          <w:tcPr>
            <w:tcW w:type="dxa" w:w="2880"/>
          </w:tcPr>
          <w:p>
            <w:r/>
            <w:r>
              <w:t>R10</w:t>
            </w:r>
          </w:p>
        </w:tc>
        <w:tc>
          <w:tcPr>
            <w:tcW w:type="dxa" w:w="2880"/>
          </w:tcPr>
          <w:p>
            <w:r/>
            <w:r>
              <w:t>Offline breathing/grounding</w:t>
            </w:r>
          </w:p>
        </w:tc>
        <w:tc>
          <w:tcPr>
            <w:tcW w:type="dxa" w:w="2880"/>
          </w:tcPr>
          <w:p>
            <w:r/>
            <w:r>
              <w:t>T034 filed</w:t>
            </w:r>
          </w:p>
        </w:tc>
      </w:tr>
      <w:tr>
        <w:tc>
          <w:tcPr>
            <w:tcW w:type="dxa" w:w="2880"/>
          </w:tcPr>
          <w:p>
            <w:r/>
            <w:r>
              <w:t>R11</w:t>
            </w:r>
          </w:p>
        </w:tc>
        <w:tc>
          <w:tcPr>
            <w:tcW w:type="dxa" w:w="2880"/>
          </w:tcPr>
          <w:p>
            <w:r/>
            <w:r>
              <w:t>SEO discoverability</w:t>
            </w:r>
          </w:p>
        </w:tc>
        <w:tc>
          <w:tcPr>
            <w:tcW w:type="dxa" w:w="2880"/>
          </w:tcPr>
          <w:p>
            <w:r/>
            <w:r>
              <w:t>T035 filed</w:t>
            </w:r>
          </w:p>
        </w:tc>
      </w:tr>
      <w:tr>
        <w:tc>
          <w:tcPr>
            <w:tcW w:type="dxa" w:w="2880"/>
          </w:tcPr>
          <w:p>
            <w:r/>
            <w:r>
              <w:t>R12</w:t>
            </w:r>
          </w:p>
        </w:tc>
        <w:tc>
          <w:tcPr>
            <w:tcW w:type="dxa" w:w="2880"/>
          </w:tcPr>
          <w:p>
            <w:r/>
            <w:r>
              <w:t>Open crisis protocol docs</w:t>
            </w:r>
          </w:p>
        </w:tc>
        <w:tc>
          <w:tcPr>
            <w:tcW w:type="dxa" w:w="2880"/>
          </w:tcPr>
          <w:p>
            <w:r/>
            <w:r>
              <w:t>T036 filed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Direct quotes worth keeping</w:t>
      </w:r>
    </w:p>
    <w:p>
      <w:r>
        <w:t>On the mirror metaphor (keep as marketing copy):</w:t>
      </w:r>
    </w:p>
    <w:p>
      <w:pPr>
        <w:ind w:left="432"/>
      </w:pPr>
      <w:r>
        <w:rPr>
          <w:i/>
          <w:color w:val="666666"/>
        </w:rPr>
        <w:t>"The mirror doesn't judge, advise, or diagnose — it reflects. This positioning avoids what might be called the therapeutic authority trap."</w:t>
      </w:r>
    </w:p>
    <w:p>
      <w:r>
        <w:t>On contemplative design (validate pitch to investors):</w:t>
      </w:r>
    </w:p>
    <w:p>
      <w:pPr>
        <w:ind w:left="432"/>
      </w:pPr>
      <w:r>
        <w:rPr>
          <w:i/>
          <w:color w:val="666666"/>
        </w:rPr>
        <w:t>"The Innerverse design team clearly understands what the literature calls 'designing for the depleted brain' — when someone opens an app during a depressive episode or panic attack, their executive function is compromised."</w:t>
      </w:r>
    </w:p>
    <w:p>
      <w:r>
        <w:t>On the safety page (keep — competitive moat):</w:t>
      </w:r>
    </w:p>
    <w:p>
      <w:pPr>
        <w:ind w:left="432"/>
      </w:pPr>
      <w:r>
        <w:rPr>
          <w:i/>
          <w:color w:val="666666"/>
        </w:rPr>
        <w:t>"This level of epistemic humility is rare and valuable... Innerverse's safety page satisfies [WHO AI Ethics criteria] more comprehensively than most FDA-registered digital therapeutics."</w:t>
      </w:r>
    </w:p>
    <w:p>
      <w:pPr>
        <w:spacing w:before="280" w:after="80"/>
      </w:pPr>
      <w:r>
        <w:rPr>
          <w:b/>
          <w:color w:val="141413"/>
          <w:sz w:val="36"/>
        </w:rPr>
        <w:t>What I'm shipping TONIGHT (post-audit, in addition to prior R0172/R0173/T014/R0178/R0179/R0180/R0181/R0182/R0183/R0175b)</w:t>
      </w:r>
    </w:p>
    <w:p>
      <w:pPr>
        <w:pStyle w:val="ListBullet"/>
      </w:pPr>
      <w:r>
        <w:rPr>
          <w:b/>
        </w:rPr>
        <w:t>R0185</w:t>
      </w:r>
      <w:r>
        <w:t xml:space="preserve"> — Reduce-motion accessibility (WCAG 2.2 Guideline 2.2.2)</w:t>
      </w:r>
    </w:p>
    <w:p>
      <w:pPr>
        <w:pStyle w:val="ListBullet"/>
      </w:pPr>
      <w:r>
        <w:rPr>
          <w:b/>
        </w:rPr>
        <w:t>T016</w:t>
      </w:r>
      <w:r>
        <w:t xml:space="preserve"> — Graduated conversation compaction (addresses R4 partial — session continuity for &gt;40 turn sessions)</w:t>
      </w:r>
    </w:p>
    <w:p>
      <w:pPr>
        <w:spacing w:before="280" w:after="80"/>
      </w:pPr>
      <w:r>
        <w:rPr>
          <w:b/>
          <w:color w:val="141413"/>
          <w:sz w:val="36"/>
        </w:rPr>
        <w:t>Dashboard / study priority reset (next session)</w:t>
      </w:r>
    </w:p>
    <w:p>
      <w:r>
        <w:t>Rec R4 (session persistence) is the single biggest felt-quality gap. User loses conversation on refresh = "feels like abandonment" per the audit. That's the thing that most damages the trust the rest of the product earns. Making that T028 the next shippable item.</w:t>
      </w:r>
    </w:p>
    <w:p>
      <w:r>
        <w:t>Rec R3 (delete-all button) is a ~1h fix with outsized trust impact. Would pair well with T028 in the same release.</w:t>
      </w:r>
    </w:p>
    <w:p>
      <w:pPr>
        <w:spacing w:before="280" w:after="80"/>
      </w:pPr>
      <w:r>
        <w:rPr>
          <w:b/>
          <w:color w:val="141413"/>
          <w:sz w:val="36"/>
        </w:rPr>
        <w:t>What I'm NOT doing (at least not unilaterally)</w:t>
      </w:r>
    </w:p>
    <w:p>
      <w:pPr>
        <w:pStyle w:val="ListBullet"/>
      </w:pPr>
      <w:r>
        <w:t>R5 (clinical advisor) — hiring / relationship decision, Harnoor-only</w:t>
      </w:r>
    </w:p>
    <w:p>
      <w:pPr>
        <w:pStyle w:val="ListBullet"/>
      </w:pPr>
      <w:r>
        <w:t>R6 (PHQ-9/GAD-7 self-assessment) — meaningful UX decision, deserves its own design pass</w:t>
      </w:r>
    </w:p>
    <w:p>
      <w:pPr>
        <w:pStyle w:val="ListBullet"/>
      </w:pPr>
      <w:r>
        <w:t>R9 (multi-language) — product-level decision on first expansion locale</w:t>
      </w:r>
    </w:p>
    <w:p>
      <w:r>
        <w:t>These get registry T-numbers but no inline execution.</w:t>
      </w:r>
    </w:p>
    <w:p>
      <w:pPr>
        <w:spacing w:before="280" w:after="80"/>
      </w:pPr>
      <w:r>
        <w:rPr>
          <w:b/>
          <w:color w:val="141413"/>
          <w:sz w:val="36"/>
        </w:rPr>
        <w:t>Filed to task registry</w:t>
      </w:r>
    </w:p>
    <w:p>
      <w:r>
        <w:t>All 12 recommendations now have T-numbers (T026-T036 + R0175/R0175b already closed). Registry updated 2026-04-22T23:50 UTC.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