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WALLET — Revenue &amp; Virality</w:t>
      </w:r>
    </w:p>
    <w:p>
      <w:pPr>
        <w:spacing w:before="280" w:after="80"/>
      </w:pPr>
      <w:r>
        <w:rPr>
          <w:b/>
          <w:color w:val="141413"/>
          <w:sz w:val="36"/>
        </w:rPr>
        <w:t>Revenue model</w:t>
      </w:r>
    </w:p>
    <w:p>
      <w:r>
        <w:rPr>
          <w:b/>
        </w:rPr>
        <w:t>1. LiveGrow Premium — $14/month.</w:t>
      </w:r>
      <w:r>
        <w:t xml:space="preserve"> Unlocks:</w:t>
      </w:r>
    </w:p>
    <w:p>
      <w:pPr>
        <w:pStyle w:val="ListBullet"/>
      </w:pPr>
      <w:r>
        <w:t>Auto-routing rules (set-and-forget the moves WALLET suggests)</w:t>
      </w:r>
    </w:p>
    <w:p>
      <w:pPr>
        <w:pStyle w:val="ListBullet"/>
      </w:pPr>
      <w:r>
        <w:t>Milestone badges + shareable cards</w:t>
      </w:r>
    </w:p>
    <w:p>
      <w:pPr>
        <w:pStyle w:val="ListBullet"/>
      </w:pPr>
      <w:r>
        <w:t>Family sharing (link partner's accounts; coordinated nudges)</w:t>
      </w:r>
    </w:p>
    <w:p>
      <w:pPr>
        <w:pStyle w:val="ListBullet"/>
      </w:pPr>
      <w:r>
        <w:t>Multi-goal tracking (529s, IRA, HYSA, debt payoff)</w:t>
      </w:r>
    </w:p>
    <w:p>
      <w:r>
        <w:t>Target conversion: 12% of MAU within 90 days (benchmarked against Copilot/Monarch).</w:t>
      </w:r>
    </w:p>
    <w:p>
      <w:r>
        <w:rPr>
          <w:b/>
        </w:rPr>
        <w:t>2. Affiliate revenue — the real engine.</w:t>
      </w:r>
      <w:r>
        <w:t xml:space="preserve"> Every smart-move card that opens an account is monetized:</w:t>
      </w:r>
    </w:p>
    <w:p>
      <w:pPr>
        <w:pStyle w:val="ListBullet"/>
      </w:pPr>
      <w:r>
        <w:rPr>
          <w:b/>
        </w:rPr>
        <w:t>HYSA</w:t>
      </w:r>
      <w:r>
        <w:t>: Marcus ($75/signup), SoFi ($100), Wealthfront Cash ($50)</w:t>
      </w:r>
    </w:p>
    <w:p>
      <w:pPr>
        <w:pStyle w:val="ListBullet"/>
      </w:pPr>
      <w:r>
        <w:rPr>
          <w:b/>
        </w:rPr>
        <w:t>Roth IRA / brokerage</w:t>
      </w:r>
      <w:r>
        <w:t>: Fidelity ($100), Wealthfront ($100), Betterment ($150)</w:t>
      </w:r>
    </w:p>
    <w:p>
      <w:pPr>
        <w:pStyle w:val="ListBullet"/>
      </w:pPr>
      <w:r>
        <w:rPr>
          <w:b/>
        </w:rPr>
        <w:t>529</w:t>
      </w:r>
      <w:r>
        <w:t>: Backer / Wealthfront 529 ($50–80)</w:t>
      </w:r>
    </w:p>
    <w:p>
      <w:pPr>
        <w:pStyle w:val="ListBullet"/>
      </w:pPr>
      <w:r>
        <w:rPr>
          <w:b/>
        </w:rPr>
        <w:t>Debt refinance</w:t>
      </w:r>
      <w:r>
        <w:t>: SoFi, Earnest ($150–200/funded loan)</w:t>
      </w:r>
    </w:p>
    <w:p>
      <w:r>
        <w:t xml:space="preserve">A user who funds a Roth, opens a HYSA, and refis a student loan in their first 6 months = </w:t>
      </w:r>
      <w:r>
        <w:rPr>
          <w:b/>
        </w:rPr>
        <w:t>$300–450 LTV from affiliate alone</w:t>
      </w:r>
      <w:r>
        <w:t>, on top of $168/yr Premium.</w:t>
      </w:r>
    </w:p>
    <w:p>
      <w:r>
        <w:rPr>
          <w:b/>
        </w:rPr>
        <w:t>3. B2B2C — employer wellness benefit.</w:t>
      </w:r>
      <w:r>
        <w:t xml:space="preserve"> Bundle WALLET into LiveGrow's existing wellness platform sold to mid-market HR teams. $3–5/employee/month. Already a distribution channel.</w:t>
      </w:r>
    </w:p>
    <w:p>
      <w:pPr>
        <w:spacing w:before="280" w:after="80"/>
      </w:pPr>
      <w:r>
        <w:rPr>
          <w:b/>
          <w:color w:val="141413"/>
          <w:sz w:val="36"/>
        </w:rPr>
        <w:t>Virality mechanics</w:t>
      </w:r>
    </w:p>
    <w:p>
      <w:r>
        <w:rPr>
          <w:b/>
        </w:rPr>
        <w:t>1. The badge.</w:t>
      </w:r>
      <w:r>
        <w:t xml:space="preserve"> Hit $1k saved → confetti + shareable card </w:t>
      </w:r>
      <w:r>
        <w:rPr>
          <w:i/>
        </w:rPr>
        <w:t>"I saved $1,034 this month with one tap a day."</w:t>
      </w:r>
      <w:r>
        <w:t xml:space="preserve"> Designed to fit Instagram Stories aspect ratio. No referral code shown — it's pure pride bait. Estimated 18% of milestone-hitters share.</w:t>
      </w:r>
    </w:p>
    <w:p>
      <w:r>
        <w:rPr>
          <w:b/>
        </w:rPr>
        <w:t>2. Couples loop.</w:t>
      </w:r>
      <w:r>
        <w:t xml:space="preserve"> When one partner shares the badge, the other often installs to "play together." Family sharing is the upsell.</w:t>
      </w:r>
    </w:p>
    <w:p>
      <w:r>
        <w:rPr>
          <w:b/>
        </w:rPr>
        <w:t>3. Specificity stories.</w:t>
      </w:r>
      <w:r>
        <w:t xml:space="preserve"> Users naturally tell friends </w:t>
      </w:r>
      <w:r>
        <w:rPr>
          <w:i/>
        </w:rPr>
        <w:t>"WALLET told me to cancel Adobe Stock"</w:t>
      </w:r>
      <w:r>
        <w:t xml:space="preserve"> — concrete anecdotes spread better than generic recs.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r>
        <w:rPr>
          <w:b/>
        </w:rPr>
        <w:t>Regulatory — the big one.</w:t>
      </w:r>
      <w:r>
        <w:t xml:space="preserve"> WALLET must be a </w:t>
      </w:r>
      <w:r>
        <w:rPr>
          <w:i/>
        </w:rPr>
        <w:t>coach</w:t>
      </w:r>
      <w:r>
        <w:t xml:space="preserve">, not an </w:t>
      </w:r>
      <w:r>
        <w:rPr>
          <w:i/>
        </w:rPr>
        <w:t>advisor</w:t>
      </w:r>
      <w:r>
        <w:t>. Strict rules:</w:t>
      </w:r>
    </w:p>
    <w:p>
      <w:pPr>
        <w:pStyle w:val="ListBullet"/>
      </w:pPr>
      <w:r>
        <w:t>Never recommend a specific security or allocation</w:t>
      </w:r>
    </w:p>
    <w:p>
      <w:pPr>
        <w:pStyle w:val="ListBullet"/>
      </w:pPr>
      <w:r>
        <w:t>Frame all suggestions as "options" with the user always tapping the action</w:t>
      </w:r>
    </w:p>
    <w:p>
      <w:pPr>
        <w:pStyle w:val="ListBullet"/>
      </w:pPr>
      <w:r>
        <w:t>Affiliate disclosures on every account-open card</w:t>
      </w:r>
    </w:p>
    <w:p>
      <w:pPr>
        <w:pStyle w:val="ListBullet"/>
      </w:pPr>
      <w:r>
        <w:t>Plaid handles all bank credentials — we never touch them</w:t>
      </w:r>
    </w:p>
    <w:p>
      <w:r>
        <w:rPr>
          <w:b/>
        </w:rPr>
        <w:t>Trust failure mode.</w:t>
      </w:r>
      <w:r>
        <w:t xml:space="preserve"> If a card is wrong (says "you didn't use Adobe" but user did), trust collapses fast. Confidence threshold required before surfacing any "unused subscription" card. Better to under-suggest than mis-suggest.</w:t>
      </w:r>
    </w:p>
    <w:p>
      <w:r>
        <w:rPr>
          <w:b/>
        </w:rPr>
        <w:t>Compliance counsel reviews every card template before ship.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