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Silent Infinity analytics &amp; data-collection architecture</w:t>
      </w:r>
    </w:p>
    <w:p>
      <w:r>
        <w:rPr>
          <w:b/>
        </w:rPr>
        <w:t>Version:</w:t>
      </w:r>
      <w:r>
        <w:t xml:space="preserve"> v1 · 2026-04-21 · HERALD</w:t>
      </w:r>
    </w:p>
    <w:p>
      <w:r>
        <w:rPr>
          <w:b/>
        </w:rPr>
        <w:t>Authority:</w:t>
      </w:r>
      <w:r>
        <w:t xml:space="preserve"> design doc, build M1 on approval</w:t>
      </w:r>
    </w:p>
    <w:p>
      <w:r>
        <w:rPr>
          <w:b/>
        </w:rPr>
        <w:t>Rough-Ask:</w:t>
      </w:r>
      <w:r>
        <w:t xml:space="preserve"> R0112</w:t>
      </w:r>
    </w:p>
    <w:p>
      <w:r>
        <w:rPr>
          <w:b/>
        </w:rPr>
        <w:t>Companion:</w:t>
      </w:r>
      <w:r>
        <w:t xml:space="preserve"> USER-FEEDBACK-SYSTEM-2026-04-21.md</w:t>
      </w:r>
    </w:p>
    <w:p>
      <w:pPr>
        <w:ind w:left="432"/>
      </w:pPr>
      <w:r>
        <w:rPr>
          <w:i/>
          <w:color w:val="666666"/>
        </w:rPr>
        <w:t>Harnoor: "dashboard from the data analyst — per user cost, average user cost, maximum cost, days/times, how many users, demographics. All the data should be collected. CloudFront may be a good place. Comprehensive plan. Nice format. Three tiers. PhD-level."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Why this matters now</w:t>
      </w:r>
    </w:p>
    <w:p>
      <w:r>
        <w:t xml:space="preserve">Silent Infinity has six users and 189 conversations. We have </w:t>
      </w:r>
      <w:r>
        <w:rPr>
          <w:i/>
        </w:rPr>
        <w:t>just</w:t>
      </w:r>
      <w:r>
        <w:t xml:space="preserve"> enough data to start instrumenting — and we are at the exact inflection point where instrumenting now prevents every founder's nightmare twelve months from now: </w:t>
      </w:r>
      <w:r>
        <w:rPr>
          <w:i/>
        </w:rPr>
        <w:t>"we scaled to 10k users and don't know what any of them are doing."</w:t>
      </w:r>
    </w:p>
    <w:p>
      <w:r>
        <w:t>Three PhD-stacked disciplines govern what we build:</w:t>
      </w:r>
    </w:p>
    <w:p>
      <w:pPr>
        <w:pStyle w:val="ListNumber"/>
      </w:pPr>
      <w:r>
        <w:rPr>
          <w:b/>
        </w:rPr>
        <w:t>Information architecture</w:t>
      </w:r>
      <w:r>
        <w:t xml:space="preserve"> (Ralph Kimball 1996, </w:t>
      </w:r>
      <w:r>
        <w:rPr>
          <w:i/>
        </w:rPr>
        <w:t>The Data Warehouse Toolkit</w:t>
      </w:r>
      <w:r>
        <w:t>) — the discipline of modeling events, facts, and dimensions into a queryable shape.</w:t>
      </w:r>
    </w:p>
    <w:p>
      <w:pPr>
        <w:pStyle w:val="ListNumber"/>
      </w:pPr>
      <w:r>
        <w:rPr>
          <w:b/>
        </w:rPr>
        <w:t>Behavioral analytics</w:t>
      </w:r>
      <w:r>
        <w:t xml:space="preserve"> (Amy Heineike's work on product instrumentation; Hofmann 2014 on implicit feedback) — what events to capture, what to ignore.</w:t>
      </w:r>
    </w:p>
    <w:p>
      <w:pPr>
        <w:pStyle w:val="ListNumber"/>
      </w:pPr>
      <w:r>
        <w:rPr>
          <w:b/>
        </w:rPr>
        <w:t>Privacy-by-design</w:t>
      </w:r>
      <w:r>
        <w:t xml:space="preserve"> (Cavoukian 2010, </w:t>
      </w:r>
      <w:r>
        <w:rPr>
          <w:i/>
        </w:rPr>
        <w:t>Privacy by Design</w:t>
      </w:r>
      <w:r>
        <w:t>; GDPR Art. 25) — data minimization, purpose limitation, storage limitation. A wellness app cannot treat user data casually.</w:t>
      </w:r>
    </w:p>
    <w:p>
      <w:r>
        <w:t>These three must balance. Over-collect and we inherit liability + breach surface. Under-collect and we fly blind. The architecture below is the middle path.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Three-tier data lake (what you asked for as "three packets")</w:t>
      </w:r>
    </w:p>
    <w:p>
      <w:r>
        <w:t xml:space="preserve">The standard warehouse pattern is </w:t>
      </w:r>
      <w:r>
        <w:rPr>
          <w:b/>
        </w:rPr>
        <w:t>Bronze → Silver → Gold</w:t>
      </w:r>
      <w:r>
        <w:t xml:space="preserve"> (Databricks / Lakehouse pattern; Ralph Kimball's variant is Staging → Integration → Presentation). Same idea.</w:t>
      </w:r>
    </w:p>
    <w:p>
      <w:pPr>
        <w:spacing w:before="200" w:after="80"/>
      </w:pPr>
      <w:r>
        <w:rPr>
          <w:b/>
          <w:color w:val="141413"/>
          <w:sz w:val="28"/>
        </w:rPr>
        <w:t>Tier 1 — BRONZE (raw ingest, 90-day retention)</w:t>
      </w:r>
    </w:p>
    <w:p>
      <w:r>
        <w:rPr>
          <w:b/>
        </w:rPr>
        <w:t>What's in it:</w:t>
      </w:r>
    </w:p>
    <w:p>
      <w:pPr>
        <w:pStyle w:val="ListBullet"/>
      </w:pPr>
      <w:r>
        <w:t xml:space="preserve">Every CloudFront request log (JSON lines, S3 </w:t>
      </w:r>
      <w:r>
        <w:t>innerverse-logs-bronze/cf/</w:t>
      </w:r>
      <w:r>
        <w:t>)</w:t>
      </w:r>
    </w:p>
    <w:p>
      <w:pPr>
        <w:pStyle w:val="ListBullet"/>
      </w:pPr>
      <w:r>
        <w:t xml:space="preserve">Every Lambda invocation log (CloudWatch → Kinesis Firehose → S3 </w:t>
      </w:r>
      <w:r>
        <w:t>innerverse-logs-bronze/lambda/</w:t>
      </w:r>
      <w:r>
        <w:t>)</w:t>
      </w:r>
    </w:p>
    <w:p>
      <w:pPr>
        <w:pStyle w:val="ListBullet"/>
      </w:pPr>
      <w:r>
        <w:t>Every Bedrock model invocation (token counts, model ID, latency, error)</w:t>
      </w:r>
    </w:p>
    <w:p>
      <w:pPr>
        <w:pStyle w:val="ListBullet"/>
      </w:pPr>
      <w:r>
        <w:t>Every DynamoDB write event (streams → S3)</w:t>
      </w:r>
    </w:p>
    <w:p>
      <w:pPr>
        <w:pStyle w:val="ListBullet"/>
      </w:pPr>
      <w:r>
        <w:t>Every /feedback form submission (full payload)</w:t>
      </w:r>
    </w:p>
    <w:p>
      <w:pPr>
        <w:pStyle w:val="ListBullet"/>
      </w:pPr>
      <w:r>
        <w:t>Every Chat Sentinel observation (per §4 of feedback memo)</w:t>
      </w:r>
    </w:p>
    <w:p>
      <w:r>
        <w:rPr>
          <w:b/>
        </w:rPr>
        <w:t>Format:</w:t>
      </w:r>
      <w:r>
        <w:t xml:space="preserve"> newline-delimited JSON, one line per event, partitioned by </w:t>
      </w:r>
      <w:r>
        <w:t>dt=YYYY-MM-DD/hour=HH</w:t>
      </w:r>
      <w:r>
        <w:t>. Gzip-compressed. Parquet-converted on daily rollup.</w:t>
      </w:r>
    </w:p>
    <w:p>
      <w:r>
        <w:rPr>
          <w:b/>
        </w:rPr>
        <w:t>Retention:</w:t>
      </w:r>
      <w:r>
        <w:t xml:space="preserve"> 90 days raw, then aggregated to Silver and deleted. This is GDPR-compliant "data minimization."</w:t>
      </w:r>
    </w:p>
    <w:p>
      <w:r>
        <w:rPr>
          <w:b/>
        </w:rPr>
        <w:t>Owner:</w:t>
      </w:r>
      <w:r>
        <w:t xml:space="preserve"> automatic (Kinesis Firehose writes from CloudFront + Lambda + DDB Streams).</w:t>
      </w:r>
    </w:p>
    <w:p>
      <w:pPr>
        <w:spacing w:before="200" w:after="80"/>
      </w:pPr>
      <w:r>
        <w:rPr>
          <w:b/>
          <w:color w:val="141413"/>
          <w:sz w:val="28"/>
        </w:rPr>
        <w:t>Tier 2 — SILVER (cleaned + joined, 2-year retention)</w:t>
      </w:r>
    </w:p>
    <w:p>
      <w:r>
        <w:rPr>
          <w:b/>
        </w:rPr>
        <w:t>What's in it:</w:t>
      </w:r>
    </w:p>
    <w:p>
      <w:pPr>
        <w:pStyle w:val="ListBullet"/>
      </w:pPr>
      <w:r>
        <w:rPr>
          <w:b/>
        </w:rPr>
        <w:t>`sessions`</w:t>
      </w:r>
      <w:r>
        <w:t xml:space="preserve"> fact table — one row per conversation session: uid, cid, start_ts, end_ts, turn_count, region, device_type, referrer, total_tokens_in/out, cost_usd, crisis_flag</w:t>
      </w:r>
    </w:p>
    <w:p>
      <w:pPr>
        <w:pStyle w:val="ListBullet"/>
      </w:pPr>
      <w:r>
        <w:rPr>
          <w:b/>
        </w:rPr>
        <w:t>`turns`</w:t>
      </w:r>
      <w:r>
        <w:t xml:space="preserve"> fact table — one row per turn: uid, cid, turn_index, ts, user_char_count, assistant_char_count, model_id, latency_ms, tokens_in/out, cost_usd, sentiment, emotion (from Sentinel), frustration_flags, feature_wishes</w:t>
      </w:r>
    </w:p>
    <w:p>
      <w:pPr>
        <w:pStyle w:val="ListBullet"/>
      </w:pPr>
      <w:r>
        <w:rPr>
          <w:b/>
        </w:rPr>
        <w:t>`users`</w:t>
      </w:r>
      <w:r>
        <w:t xml:space="preserve"> dim table — uid, first_seen, last_seen, total_sessions, total_turns, total_cost_usd, region, device_type, consent_state, opt_out_flags, cohort_week</w:t>
      </w:r>
    </w:p>
    <w:p>
      <w:pPr>
        <w:pStyle w:val="ListBullet"/>
      </w:pPr>
      <w:r>
        <w:rPr>
          <w:b/>
        </w:rPr>
        <w:t>`feedback`</w:t>
      </w:r>
      <w:r>
        <w:t xml:space="preserve"> fact table — ts, uid, type (form|reaction|rating|sentinel_observation), love, bad, wish, mood, email_hash, related_turn_id</w:t>
      </w:r>
    </w:p>
    <w:p>
      <w:pPr>
        <w:pStyle w:val="ListBullet"/>
      </w:pPr>
      <w:r>
        <w:rPr>
          <w:b/>
        </w:rPr>
        <w:t>`costs`</w:t>
      </w:r>
      <w:r>
        <w:t xml:space="preserve"> fact table — ts, service (bedrock|transcribe|polly|cloudfront|lambda|dynamodb), component, usd, uid, cid</w:t>
      </w:r>
    </w:p>
    <w:p>
      <w:r>
        <w:rPr>
          <w:b/>
        </w:rPr>
        <w:t>Format:</w:t>
      </w:r>
      <w:r>
        <w:t xml:space="preserve"> Parquet in S3 </w:t>
      </w:r>
      <w:r>
        <w:t>innerverse-logs-silver/</w:t>
      </w:r>
      <w:r>
        <w:t xml:space="preserve">, partitioned by table name + </w:t>
      </w:r>
      <w:r>
        <w:t>dt=YYYY-MM-DD</w:t>
      </w:r>
      <w:r>
        <w:t>. AWS Glue catalog for schema. Queryable via Athena.</w:t>
      </w:r>
    </w:p>
    <w:p>
      <w:r>
        <w:rPr>
          <w:b/>
        </w:rPr>
        <w:t>PII handling:</w:t>
      </w:r>
      <w:r>
        <w:t xml:space="preserve"> </w:t>
      </w:r>
    </w:p>
    <w:p>
      <w:pPr>
        <w:pStyle w:val="ListBullet"/>
      </w:pPr>
      <w:r>
        <w:t>UIDs are hashes of the original (SHA-256 salted). Raw uids never enter Silver.</w:t>
      </w:r>
    </w:p>
    <w:p>
      <w:pPr>
        <w:pStyle w:val="ListBullet"/>
      </w:pPr>
      <w:r>
        <w:t>Raw user message text is NEVER in Silver — only char counts + sentiment + emotion tags.</w:t>
      </w:r>
    </w:p>
    <w:p>
      <w:pPr>
        <w:pStyle w:val="ListBullet"/>
      </w:pPr>
      <w:r>
        <w:t>Emails are hashed (SHA-256) for join, raw email only stays in Bronze during its 90-day window.</w:t>
      </w:r>
    </w:p>
    <w:p>
      <w:r>
        <w:rPr>
          <w:b/>
        </w:rPr>
        <w:t>Retention:</w:t>
      </w:r>
      <w:r>
        <w:t xml:space="preserve"> 2 years. Then aggregated to Gold and deleted.</w:t>
      </w:r>
    </w:p>
    <w:p>
      <w:r>
        <w:rPr>
          <w:b/>
        </w:rPr>
        <w:t>Owner:</w:t>
      </w:r>
      <w:r>
        <w:t xml:space="preserve"> nightly Glue ETL job that reads Bronze → transforms → writes Silver.</w:t>
      </w:r>
    </w:p>
    <w:p>
      <w:pPr>
        <w:spacing w:before="200" w:after="80"/>
      </w:pPr>
      <w:r>
        <w:rPr>
          <w:b/>
          <w:color w:val="141413"/>
          <w:sz w:val="28"/>
        </w:rPr>
        <w:t>Tier 3 — GOLD (analytics-ready, forever)</w:t>
      </w:r>
    </w:p>
    <w:p>
      <w:r>
        <w:rPr>
          <w:b/>
        </w:rPr>
        <w:t>What's in it:</w:t>
      </w:r>
    </w:p>
    <w:p>
      <w:pPr>
        <w:pStyle w:val="ListBullet"/>
      </w:pPr>
      <w:r>
        <w:rPr>
          <w:b/>
        </w:rPr>
        <w:t>Cohort retention matrix</w:t>
      </w:r>
      <w:r>
        <w:t xml:space="preserve"> (aggregated — no user row)</w:t>
      </w:r>
    </w:p>
    <w:p>
      <w:pPr>
        <w:pStyle w:val="ListBullet"/>
      </w:pPr>
      <w:r>
        <w:rPr>
          <w:b/>
        </w:rPr>
        <w:t>Daily/weekly/monthly usage metrics</w:t>
      </w:r>
      <w:r>
        <w:t xml:space="preserve"> (DAU, WAU, MAU, session-length distribution)</w:t>
      </w:r>
    </w:p>
    <w:p>
      <w:pPr>
        <w:pStyle w:val="ListBullet"/>
      </w:pPr>
      <w:r>
        <w:rPr>
          <w:b/>
        </w:rPr>
        <w:t>Cost projections</w:t>
      </w:r>
      <w:r>
        <w:t xml:space="preserve"> (rolling 30/90/365-day forecast)</w:t>
      </w:r>
    </w:p>
    <w:p>
      <w:pPr>
        <w:pStyle w:val="ListBullet"/>
      </w:pPr>
      <w:r>
        <w:rPr>
          <w:b/>
        </w:rPr>
        <w:t>Feature-wish leaderboard</w:t>
      </w:r>
      <w:r>
        <w:t xml:space="preserve"> (ranked by frequency × Kano tier × confidence)</w:t>
      </w:r>
    </w:p>
    <w:p>
      <w:pPr>
        <w:pStyle w:val="ListBullet"/>
      </w:pPr>
      <w:r>
        <w:rPr>
          <w:b/>
        </w:rPr>
        <w:t>Emotion mix by day</w:t>
      </w:r>
      <w:r>
        <w:t xml:space="preserve"> (% sad, % joyful, % frustrated across all sessions)</w:t>
      </w:r>
    </w:p>
    <w:p>
      <w:pPr>
        <w:pStyle w:val="ListBullet"/>
      </w:pPr>
      <w:r>
        <w:rPr>
          <w:b/>
        </w:rPr>
        <w:t>Retention curves by cohort week</w:t>
      </w:r>
    </w:p>
    <w:p>
      <w:pPr>
        <w:pStyle w:val="ListBullet"/>
      </w:pPr>
      <w:r>
        <w:rPr>
          <w:b/>
        </w:rPr>
        <w:t>Crisis-path metrics</w:t>
      </w:r>
      <w:r>
        <w:t xml:space="preserve"> (anonymous counts, disposition, escalation path)</w:t>
      </w:r>
    </w:p>
    <w:p>
      <w:pPr>
        <w:pStyle w:val="ListBullet"/>
      </w:pPr>
      <w:r>
        <w:rPr>
          <w:b/>
        </w:rPr>
        <w:t>Notable moments reel</w:t>
      </w:r>
      <w:r>
        <w:t xml:space="preserve"> (quotable user lines, anonymized + consented)</w:t>
      </w:r>
    </w:p>
    <w:p>
      <w:r>
        <w:rPr>
          <w:b/>
        </w:rPr>
        <w:t>Format:</w:t>
      </w:r>
      <w:r>
        <w:t xml:space="preserve"> Parquet + materialized views in S3 </w:t>
      </w:r>
      <w:r>
        <w:t>innerverse-logs-gold/</w:t>
      </w:r>
      <w:r>
        <w:t xml:space="preserve">. Also exposed to QuickSight dashboard + the internal </w:t>
      </w:r>
      <w:r>
        <w:t>/sage</w:t>
      </w:r>
      <w:r>
        <w:t xml:space="preserve"> dashboard (we build that).</w:t>
      </w:r>
    </w:p>
    <w:p>
      <w:r>
        <w:rPr>
          <w:b/>
        </w:rPr>
        <w:t>Retention:</w:t>
      </w:r>
      <w:r>
        <w:t xml:space="preserve"> forever. These are aggregates; no single user can be re-identified.</w:t>
      </w:r>
    </w:p>
    <w:p>
      <w:r>
        <w:rPr>
          <w:b/>
        </w:rPr>
        <w:t>Owner:</w:t>
      </w:r>
      <w:r>
        <w:t xml:space="preserve"> weekly SAGE rollup job. Publishes to the SAGE dashboard and to the quarterly transparency report.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What we're collecting — the event schema</w:t>
      </w:r>
    </w:p>
    <w:p>
      <w:pPr>
        <w:spacing w:before="200" w:after="80"/>
      </w:pPr>
      <w:r>
        <w:rPr>
          <w:b/>
          <w:color w:val="141413"/>
          <w:sz w:val="28"/>
        </w:rPr>
        <w:t>3.1 CloudFront access logs (standard format, enabled today)</w:t>
      </w:r>
    </w:p>
    <w:p>
      <w:r>
        <w:t>Already captured by default. Fields we care about:</w:t>
      </w:r>
    </w:p>
    <w:p>
      <w:pPr>
        <w:pStyle w:val="ListBullet"/>
      </w:pPr>
      <w:r>
        <w:t>timestamp</w:t>
      </w:r>
      <w:r>
        <w:t xml:space="preserve">, </w:t>
      </w:r>
      <w:r>
        <w:t>client_ip</w:t>
      </w:r>
      <w:r>
        <w:t xml:space="preserve"> (truncated to /24 for privacy), </w:t>
      </w:r>
      <w:r>
        <w:t>cs(Referer)</w:t>
      </w:r>
      <w:r>
        <w:t xml:space="preserve">, </w:t>
      </w:r>
      <w:r>
        <w:t>cs(User-Agent)</w:t>
      </w:r>
      <w:r>
        <w:t xml:space="preserve">, </w:t>
      </w:r>
      <w:r>
        <w:t>cs-uri-stem</w:t>
      </w:r>
      <w:r>
        <w:t xml:space="preserve">, </w:t>
      </w:r>
      <w:r>
        <w:t>sc-status</w:t>
      </w:r>
      <w:r>
        <w:t xml:space="preserve">, </w:t>
      </w:r>
      <w:r>
        <w:t>time-taken</w:t>
      </w:r>
      <w:r>
        <w:t xml:space="preserve">, </w:t>
      </w:r>
      <w:r>
        <w:t>x-edge-location</w:t>
      </w:r>
      <w:r>
        <w:t xml:space="preserve"> (city-level)</w:t>
      </w:r>
    </w:p>
    <w:p>
      <w:r>
        <w:t>This gives us: traffic volume, geographic distribution, device types, referrers, error rates — at zero incremental cost.</w:t>
      </w:r>
    </w:p>
    <w:p>
      <w:r>
        <w:rPr>
          <w:b/>
        </w:rPr>
        <w:t>Action:</w:t>
      </w:r>
      <w:r>
        <w:t xml:space="preserve"> enable if not already: </w:t>
      </w:r>
      <w:r>
        <w:t>aws cloudfront get-distribution-config --id E2M8T6S9SM3OQY</w:t>
      </w:r>
      <w:r>
        <w:t xml:space="preserve"> → ensure </w:t>
      </w:r>
      <w:r>
        <w:t>Logging.Enabled = true</w:t>
      </w:r>
      <w:r>
        <w:t xml:space="preserve"> + S3 bucket for logs. We need this TODAY.</w:t>
      </w:r>
    </w:p>
    <w:p>
      <w:pPr>
        <w:spacing w:before="200" w:after="80"/>
      </w:pPr>
      <w:r>
        <w:rPr>
          <w:b/>
          <w:color w:val="141413"/>
          <w:sz w:val="28"/>
        </w:rPr>
        <w:t>3.2 Lambda structured logs (EMF format)</w:t>
      </w:r>
    </w:p>
    <w:p>
      <w:r>
        <w:t>Every Lambda invocation emits an Embedded Metric Format (EMF) JSON blob to CloudWatch: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Partially there already (EMF in handler.py). Need to add: cost_usd computation per turn, device detection, region from CloudFront header.</w:t>
      </w:r>
    </w:p>
    <w:p>
      <w:pPr>
        <w:spacing w:before="200" w:after="80"/>
      </w:pPr>
      <w:r>
        <w:rPr>
          <w:b/>
          <w:color w:val="141413"/>
          <w:sz w:val="28"/>
        </w:rPr>
        <w:t>3.3 DynamoDB Streams</w:t>
      </w:r>
    </w:p>
    <w:p>
      <w:r>
        <w:t xml:space="preserve">Enable streams on </w:t>
      </w:r>
      <w:r>
        <w:t>innerverse-users</w:t>
      </w:r>
      <w:r>
        <w:t xml:space="preserve">, </w:t>
      </w:r>
      <w:r>
        <w:t>innerverse-conversations</w:t>
      </w:r>
      <w:r>
        <w:t xml:space="preserve">, </w:t>
      </w:r>
      <w:r>
        <w:t>innerverse-feedback</w:t>
      </w:r>
      <w:r>
        <w:t>. Kinesis Firehose delivers to S3 Bronze. This captures every write event for audit + analytics without requiring Lambda to double-write.</w:t>
      </w:r>
    </w:p>
    <w:p>
      <w:pPr>
        <w:spacing w:before="200" w:after="80"/>
      </w:pPr>
      <w:r>
        <w:rPr>
          <w:b/>
          <w:color w:val="141413"/>
          <w:sz w:val="28"/>
        </w:rPr>
        <w:t>3.4 Chat Sentinel observations (new, per feedback memo §4)</w:t>
      </w:r>
    </w:p>
    <w:p>
      <w:r>
        <w:t xml:space="preserve">Every user turn → Haiku observation → DynamoDB </w:t>
      </w:r>
      <w:r>
        <w:t>innerverse-observations</w:t>
      </w:r>
      <w:r>
        <w:t xml:space="preserve"> → stream → S3.</w:t>
      </w:r>
    </w:p>
    <w:p>
      <w:pPr>
        <w:spacing w:before="200" w:after="80"/>
      </w:pPr>
      <w:r>
        <w:rPr>
          <w:b/>
          <w:color w:val="141413"/>
          <w:sz w:val="28"/>
        </w:rPr>
        <w:t>3.5 User-agent + region derivation</w:t>
      </w:r>
    </w:p>
    <w:p>
      <w:r>
        <w:t xml:space="preserve">From CloudFront </w:t>
      </w:r>
      <w:r>
        <w:t>CloudFront-Viewer-Country</w:t>
      </w:r>
      <w:r>
        <w:t xml:space="preserve"> header + User-Agent string parsing (ua-parser library). Gives us device class, browser, country (not city — privacy). No fingerprinting.</w:t>
      </w:r>
    </w:p>
    <w:p>
      <w:pPr>
        <w:spacing w:before="200" w:after="80"/>
      </w:pPr>
      <w:r>
        <w:rPr>
          <w:b/>
          <w:color w:val="141413"/>
          <w:sz w:val="28"/>
        </w:rPr>
        <w:t>3.6 What we do NOT collect</w:t>
      </w:r>
    </w:p>
    <w:p>
      <w:pPr>
        <w:pStyle w:val="ListBullet"/>
      </w:pPr>
      <w:r>
        <w:t>Raw user message content in any tier beyond Bronze (90-day)</w:t>
      </w:r>
    </w:p>
    <w:p>
      <w:pPr>
        <w:pStyle w:val="ListBullet"/>
      </w:pPr>
      <w:r>
        <w:t>IP address below /24 truncation</w:t>
      </w:r>
    </w:p>
    <w:p>
      <w:pPr>
        <w:pStyle w:val="ListBullet"/>
      </w:pPr>
      <w:r>
        <w:t>Keystroke-level telemetry</w:t>
      </w:r>
    </w:p>
    <w:p>
      <w:pPr>
        <w:pStyle w:val="ListBullet"/>
      </w:pPr>
      <w:r>
        <w:t>Mouse-movement heatmaps (Hotjar/FullStory style — invasive)</w:t>
      </w:r>
    </w:p>
    <w:p>
      <w:pPr>
        <w:pStyle w:val="ListBullet"/>
      </w:pPr>
      <w:r>
        <w:t>Third-party analytics trackers (Google Analytics, Mixpanel, etc. — we self-host)</w:t>
      </w:r>
    </w:p>
    <w:p>
      <w:pPr>
        <w:pStyle w:val="ListBullet"/>
      </w:pPr>
      <w:r>
        <w:t>Any data from users who have opted out of observation (per Privacy Policy §X)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The SAGE dashboard — what Harnoor sees</w:t>
      </w:r>
    </w:p>
    <w:p>
      <w:r>
        <w:t>Two URLs, one private, one public.</w:t>
      </w:r>
    </w:p>
    <w:p>
      <w:pPr>
        <w:spacing w:before="200" w:after="80"/>
      </w:pPr>
      <w:r>
        <w:rPr>
          <w:b/>
          <w:color w:val="141413"/>
          <w:sz w:val="28"/>
        </w:rPr>
        <w:t>4.1 `/sage` (private — admin only, IP-restricted or Cognito group)</w:t>
      </w:r>
    </w:p>
    <w:p>
      <w:r>
        <w:t>Landing page with these panels:</w:t>
      </w:r>
    </w:p>
    <w:p>
      <w:pPr>
        <w:spacing w:before="200" w:after="80"/>
      </w:pPr>
      <w:r>
        <w:rPr>
          <w:b/>
          <w:color w:val="141413"/>
          <w:sz w:val="24"/>
        </w:rPr>
        <w:t>Cost panel</w:t>
      </w:r>
    </w:p>
    <w:p>
      <w:pPr>
        <w:pStyle w:val="ListBullet"/>
      </w:pPr>
      <w:r>
        <w:rPr>
          <w:b/>
        </w:rPr>
        <w:t>Total spend today / this week / this month</w:t>
      </w:r>
      <w:r>
        <w:t xml:space="preserve"> (bedrock + transcribe + polly + cloudfront + lambda + ddb, line chart)</w:t>
      </w:r>
    </w:p>
    <w:p>
      <w:pPr>
        <w:pStyle w:val="ListBullet"/>
      </w:pPr>
      <w:r>
        <w:rPr>
          <w:b/>
        </w:rPr>
        <w:t>Cost per user</w:t>
      </w:r>
      <w:r>
        <w:t xml:space="preserve"> table: top 10 most expensive users, average, median, max, p99</w:t>
      </w:r>
    </w:p>
    <w:p>
      <w:pPr>
        <w:pStyle w:val="ListBullet"/>
      </w:pPr>
      <w:r>
        <w:rPr>
          <w:b/>
        </w:rPr>
        <w:t>Cost per session</w:t>
      </w:r>
      <w:r>
        <w:t xml:space="preserve"> distribution histogram</w:t>
      </w:r>
    </w:p>
    <w:p>
      <w:pPr>
        <w:pStyle w:val="ListBullet"/>
      </w:pPr>
      <w:r>
        <w:rPr>
          <w:b/>
        </w:rPr>
        <w:t>Projection:</w:t>
      </w:r>
      <w:r>
        <w:t xml:space="preserve"> 30/90/365-day at current growth rate</w:t>
      </w:r>
    </w:p>
    <w:p>
      <w:pPr>
        <w:spacing w:before="200" w:after="80"/>
      </w:pPr>
      <w:r>
        <w:rPr>
          <w:b/>
          <w:color w:val="141413"/>
          <w:sz w:val="24"/>
        </w:rPr>
        <w:t>Usage panel</w:t>
      </w:r>
    </w:p>
    <w:p>
      <w:pPr>
        <w:pStyle w:val="ListBullet"/>
      </w:pPr>
      <w:r>
        <w:rPr>
          <w:b/>
        </w:rPr>
        <w:t>DAU / WAU / MAU</w:t>
      </w:r>
      <w:r>
        <w:t xml:space="preserve"> counts</w:t>
      </w:r>
    </w:p>
    <w:p>
      <w:pPr>
        <w:pStyle w:val="ListBullet"/>
      </w:pPr>
      <w:r>
        <w:rPr>
          <w:b/>
        </w:rPr>
        <w:t>Session-length distribution</w:t>
      </w:r>
      <w:r>
        <w:t xml:space="preserve"> (median turn count per session, p50/p95/p99)</w:t>
      </w:r>
    </w:p>
    <w:p>
      <w:pPr>
        <w:pStyle w:val="ListBullet"/>
      </w:pPr>
      <w:r>
        <w:rPr>
          <w:b/>
        </w:rPr>
        <w:t>Days/times heatmap</w:t>
      </w:r>
      <w:r>
        <w:t xml:space="preserve"> — 7x24 grid showing when conversations happen (useful for staffing when voice ships)</w:t>
      </w:r>
    </w:p>
    <w:p>
      <w:pPr>
        <w:pStyle w:val="ListBullet"/>
      </w:pPr>
      <w:r>
        <w:rPr>
          <w:b/>
        </w:rPr>
        <w:t>Retention curves</w:t>
      </w:r>
      <w:r>
        <w:t xml:space="preserve"> by signup cohort (1-day, 7-day, 30-day retention)</w:t>
      </w:r>
    </w:p>
    <w:p>
      <w:pPr>
        <w:pStyle w:val="ListBullet"/>
      </w:pPr>
      <w:r>
        <w:rPr>
          <w:b/>
        </w:rPr>
        <w:t>Churn signals</w:t>
      </w:r>
      <w:r>
        <w:t xml:space="preserve"> — users with declining engagement trending toward 0</w:t>
      </w:r>
    </w:p>
    <w:p>
      <w:pPr>
        <w:spacing w:before="200" w:after="80"/>
      </w:pPr>
      <w:r>
        <w:rPr>
          <w:b/>
          <w:color w:val="141413"/>
          <w:sz w:val="24"/>
        </w:rPr>
        <w:t>Demographic panel</w:t>
      </w:r>
    </w:p>
    <w:p>
      <w:pPr>
        <w:pStyle w:val="ListBullet"/>
      </w:pPr>
      <w:r>
        <w:rPr>
          <w:b/>
        </w:rPr>
        <w:t>Geographic map</w:t>
      </w:r>
      <w:r>
        <w:t xml:space="preserve"> (country-level, from CloudFront)</w:t>
      </w:r>
    </w:p>
    <w:p>
      <w:pPr>
        <w:pStyle w:val="ListBullet"/>
      </w:pPr>
      <w:r>
        <w:rPr>
          <w:b/>
        </w:rPr>
        <w:t>Device class</w:t>
      </w:r>
      <w:r>
        <w:t xml:space="preserve"> (mobile / tablet / desktop %)</w:t>
      </w:r>
    </w:p>
    <w:p>
      <w:pPr>
        <w:pStyle w:val="ListBullet"/>
      </w:pPr>
      <w:r>
        <w:rPr>
          <w:b/>
        </w:rPr>
        <w:t>Browser mix</w:t>
      </w:r>
      <w:r>
        <w:t xml:space="preserve"> (Safari / Chrome / Firefox / etc.)</w:t>
      </w:r>
    </w:p>
    <w:p>
      <w:pPr>
        <w:pStyle w:val="ListBullet"/>
      </w:pPr>
      <w:r>
        <w:rPr>
          <w:b/>
        </w:rPr>
        <w:t>Peak usage hours</w:t>
      </w:r>
      <w:r>
        <w:t xml:space="preserve"> by timezone cluster</w:t>
      </w:r>
    </w:p>
    <w:p>
      <w:pPr>
        <w:spacing w:before="200" w:after="80"/>
      </w:pPr>
      <w:r>
        <w:rPr>
          <w:b/>
          <w:color w:val="141413"/>
          <w:sz w:val="24"/>
        </w:rPr>
        <w:t>Sentiment panel (from Chat Sentinel)</w:t>
      </w:r>
    </w:p>
    <w:p>
      <w:pPr>
        <w:pStyle w:val="ListBullet"/>
      </w:pPr>
      <w:r>
        <w:rPr>
          <w:b/>
        </w:rPr>
        <w:t>Emotion mix today</w:t>
      </w:r>
      <w:r>
        <w:t xml:space="preserve"> (pie: joy / sadness / anger / fear / surprise / trust / etc.)</w:t>
      </w:r>
    </w:p>
    <w:p>
      <w:pPr>
        <w:pStyle w:val="ListBullet"/>
      </w:pPr>
      <w:r>
        <w:rPr>
          <w:b/>
        </w:rPr>
        <w:t>Frustration heatmap</w:t>
      </w:r>
      <w:r>
        <w:t xml:space="preserve"> — which user-inputs correlate with frustration signals</w:t>
      </w:r>
    </w:p>
    <w:p>
      <w:pPr>
        <w:pStyle w:val="ListBullet"/>
      </w:pPr>
      <w:r>
        <w:rPr>
          <w:b/>
        </w:rPr>
        <w:t>Feature-wish cloud</w:t>
      </w:r>
      <w:r>
        <w:t xml:space="preserve"> — top 20 requested features ranked</w:t>
      </w:r>
    </w:p>
    <w:p>
      <w:pPr>
        <w:spacing w:before="200" w:after="80"/>
      </w:pPr>
      <w:r>
        <w:rPr>
          <w:b/>
          <w:color w:val="141413"/>
          <w:sz w:val="24"/>
        </w:rPr>
        <w:t>Crisis panel (anonymous)</w:t>
      </w:r>
    </w:p>
    <w:p>
      <w:pPr>
        <w:pStyle w:val="ListBullet"/>
      </w:pPr>
      <w:r>
        <w:t>Flagged turn count by severity today / week / month</w:t>
      </w:r>
    </w:p>
    <w:p>
      <w:pPr>
        <w:pStyle w:val="ListBullet"/>
      </w:pPr>
      <w:r>
        <w:t>Disposition (resolved in-session, directed to 988, escalated)</w:t>
      </w:r>
    </w:p>
    <w:p>
      <w:pPr>
        <w:pStyle w:val="ListBullet"/>
      </w:pPr>
      <w:r>
        <w:t>Time-to-escalation distribution</w:t>
      </w:r>
    </w:p>
    <w:p>
      <w:pPr>
        <w:pStyle w:val="ListBullet"/>
      </w:pPr>
      <w:r>
        <w:t>Zero raw content — only aggregate counts</w:t>
      </w:r>
    </w:p>
    <w:p>
      <w:pPr>
        <w:spacing w:before="200" w:after="80"/>
      </w:pPr>
      <w:r>
        <w:rPr>
          <w:b/>
          <w:color w:val="141413"/>
          <w:sz w:val="28"/>
        </w:rPr>
        <w:t>4.2 `/safety/transparency` (public quarterly)</w:t>
      </w:r>
    </w:p>
    <w:p>
      <w:r>
        <w:t>Per Innovation 5. Shows users we're honest:</w:t>
      </w:r>
    </w:p>
    <w:p>
      <w:pPr>
        <w:pStyle w:val="ListBullet"/>
      </w:pPr>
      <w:r>
        <w:t>Aggregate user count, session count, countries served</w:t>
      </w:r>
    </w:p>
    <w:p>
      <w:pPr>
        <w:pStyle w:val="ListBullet"/>
      </w:pPr>
      <w:r>
        <w:t>Aggregate sentiment mix</w:t>
      </w:r>
    </w:p>
    <w:p>
      <w:pPr>
        <w:pStyle w:val="ListBullet"/>
      </w:pPr>
      <w:r>
        <w:t>Feature-wishes we're building vs not</w:t>
      </w:r>
    </w:p>
    <w:p>
      <w:pPr>
        <w:pStyle w:val="ListBullet"/>
      </w:pPr>
      <w:r>
        <w:t>Crisis-flag counts + disposition (no PII)</w:t>
      </w:r>
    </w:p>
    <w:p>
      <w:pPr>
        <w:pStyle w:val="ListBullet"/>
      </w:pPr>
      <w:r>
        <w:t>Incidents (any P0/P1 that affected users)</w:t>
      </w:r>
    </w:p>
    <w:p>
      <w:pPr>
        <w:pStyle w:val="ListBullet"/>
      </w:pPr>
      <w:r>
        <w:t>Changes to /safety policy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The pricing / cost calculations (per-turn)</w:t>
      </w:r>
    </w:p>
    <w:p>
      <w:r>
        <w:t>Each turn's cost is computed synchronously after the Bedrock response: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Pricing table stored in </w:t>
      </w:r>
      <w:r>
        <w:t>F:/projects/innerverse/backend/src/pricing.py</w:t>
      </w:r>
      <w:r>
        <w:t xml:space="preserve"> + version-controlled so historical data is accurate when Anthropic changes rates.</w:t>
      </w:r>
    </w:p>
    <w:p>
      <w:r>
        <w:t>Per-user cost = sum(turn.cost) across all their turns.</w:t>
      </w:r>
    </w:p>
    <w:p>
      <w:r>
        <w:t>Average user cost = sum(turn.cost) / count(distinct uid) over window.</w:t>
      </w:r>
    </w:p>
    <w:p>
      <w:r>
        <w:t>Max user cost = max(user.total_cost) over window.</w:t>
      </w:r>
    </w:p>
    <w:p>
      <w:r>
        <w:t>Cost percentiles = p50/p90/p99 distribution of per-user cost (lets us spot outlier "power users" who consume disproportionate resources).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Implementation — build order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Step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Ship 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</w:tr>
      <w:tr>
        <w:tc>
          <w:tcPr>
            <w:tcW w:type="dxa" w:w="2160"/>
          </w:tcPr>
          <w:p>
            <w:r/>
            <w:r>
              <w:t>1. Enable CloudFront access logging to S3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today</w:t>
            </w:r>
          </w:p>
        </w:tc>
        <w:tc>
          <w:tcPr>
            <w:tcW w:type="dxa" w:w="2160"/>
          </w:tcPr>
          <w:p>
            <w:r/>
            <w:r>
              <w:t>~$0.50/mo S3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</w:tr>
      <w:tr>
        <w:tc>
          <w:tcPr>
            <w:tcW w:type="dxa" w:w="2160"/>
          </w:tcPr>
          <w:p>
            <w:r/>
            <w:r>
              <w:t>2. Per-turn cost computation in handler.py → EMF</w:t>
            </w:r>
          </w:p>
        </w:tc>
        <w:tc>
          <w:tcPr>
            <w:tcW w:type="dxa" w:w="2160"/>
          </w:tcPr>
          <w:p>
            <w:r/>
            <w:r>
              <w:t>this week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</w:tr>
      <w:tr>
        <w:tc>
          <w:tcPr>
            <w:tcW w:type="dxa" w:w="2160"/>
          </w:tcPr>
          <w:p>
            <w:r/>
            <w:r>
              <w:t>3. DynamoDB Streams → Kinesis Firehose → S3 Bronze</w:t>
            </w:r>
          </w:p>
        </w:tc>
        <w:tc>
          <w:tcPr>
            <w:tcW w:type="dxa" w:w="2160"/>
          </w:tcPr>
          <w:p>
            <w:r/>
            <w:r>
              <w:t>this week</w:t>
            </w:r>
          </w:p>
        </w:tc>
        <w:tc>
          <w:tcPr>
            <w:tcW w:type="dxa" w:w="2160"/>
          </w:tcPr>
          <w:p>
            <w:r/>
            <w:r>
              <w:t>~$2/mo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</w:tr>
      <w:tr>
        <w:tc>
          <w:tcPr>
            <w:tcW w:type="dxa" w:w="2160"/>
          </w:tcPr>
          <w:p>
            <w:r/>
            <w:r>
              <w:t>4. Glue ETL: Bronze → Silver nightly</w:t>
            </w:r>
          </w:p>
        </w:tc>
        <w:tc>
          <w:tcPr>
            <w:tcW w:type="dxa" w:w="2160"/>
          </w:tcPr>
          <w:p>
            <w:r/>
            <w:r>
              <w:t>next week</w:t>
            </w:r>
          </w:p>
        </w:tc>
        <w:tc>
          <w:tcPr>
            <w:tcW w:type="dxa" w:w="2160"/>
          </w:tcPr>
          <w:p>
            <w:r/>
            <w:r>
              <w:t>~$5/mo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</w:tr>
      <w:tr>
        <w:tc>
          <w:tcPr>
            <w:tcW w:type="dxa" w:w="2160"/>
          </w:tcPr>
          <w:p>
            <w:r/>
            <w:r>
              <w:t>5. Athena + QuickSight dashboard (SAGE MVP)</w:t>
            </w:r>
          </w:p>
        </w:tc>
        <w:tc>
          <w:tcPr>
            <w:tcW w:type="dxa" w:w="2160"/>
          </w:tcPr>
          <w:p>
            <w:r/>
            <w:r>
              <w:t>next week</w:t>
            </w:r>
          </w:p>
        </w:tc>
        <w:tc>
          <w:tcPr>
            <w:tcW w:type="dxa" w:w="2160"/>
          </w:tcPr>
          <w:p>
            <w:r/>
            <w:r>
              <w:t>~$12/mo QuickSight reader seat</w:t>
            </w:r>
          </w:p>
        </w:tc>
        <w:tc>
          <w:tcPr>
            <w:tcW w:type="dxa" w:w="2160"/>
          </w:tcPr>
          <w:p>
            <w:r/>
            <w:r>
              <w:t>SAGE</w:t>
            </w:r>
          </w:p>
        </w:tc>
      </w:tr>
      <w:tr>
        <w:tc>
          <w:tcPr>
            <w:tcW w:type="dxa" w:w="2160"/>
          </w:tcPr>
          <w:p>
            <w:r/>
            <w:r>
              <w:t>6. Chat Sentinel (per feedback memo)</w:t>
            </w:r>
          </w:p>
        </w:tc>
        <w:tc>
          <w:tcPr>
            <w:tcW w:type="dxa" w:w="2160"/>
          </w:tcPr>
          <w:p>
            <w:r/>
            <w:r>
              <w:t>2 weeks out</w:t>
            </w:r>
          </w:p>
        </w:tc>
        <w:tc>
          <w:tcPr>
            <w:tcW w:type="dxa" w:w="2160"/>
          </w:tcPr>
          <w:p>
            <w:r/>
            <w:r>
              <w:t>~$30/mo Haiku</w:t>
            </w:r>
          </w:p>
        </w:tc>
        <w:tc>
          <w:tcPr>
            <w:tcW w:type="dxa" w:w="2160"/>
          </w:tcPr>
          <w:p>
            <w:r/>
            <w:r>
              <w:t>SCOUT</w:t>
            </w:r>
          </w:p>
        </w:tc>
      </w:tr>
      <w:tr>
        <w:tc>
          <w:tcPr>
            <w:tcW w:type="dxa" w:w="2160"/>
          </w:tcPr>
          <w:p>
            <w:r/>
            <w:r>
              <w:t>7. /sage private dashboard page</w:t>
            </w:r>
          </w:p>
        </w:tc>
        <w:tc>
          <w:tcPr>
            <w:tcW w:type="dxa" w:w="2160"/>
          </w:tcPr>
          <w:p>
            <w:r/>
            <w:r>
              <w:t>3 weeks</w:t>
            </w:r>
          </w:p>
        </w:tc>
        <w:tc>
          <w:tcPr>
            <w:tcW w:type="dxa" w:w="2160"/>
          </w:tcPr>
          <w:p>
            <w:r/>
            <w:r>
              <w:t>0 (reuses QuickSight embed)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</w:tr>
      <w:tr>
        <w:tc>
          <w:tcPr>
            <w:tcW w:type="dxa" w:w="2160"/>
          </w:tcPr>
          <w:p>
            <w:r/>
            <w:r>
              <w:t>8. Public /safety/transparency page</w:t>
            </w:r>
          </w:p>
        </w:tc>
        <w:tc>
          <w:tcPr>
            <w:tcW w:type="dxa" w:w="2160"/>
          </w:tcPr>
          <w:p>
            <w:r/>
            <w:r>
              <w:t>4 weeks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HERALD</w:t>
            </w:r>
          </w:p>
        </w:tc>
      </w:tr>
      <w:tr>
        <w:tc>
          <w:tcPr>
            <w:tcW w:type="dxa" w:w="2160"/>
          </w:tcPr>
          <w:p>
            <w:r/>
            <w:r>
              <w:t>9. Weekly SAGE rollup job → Gold</w:t>
            </w:r>
          </w:p>
        </w:tc>
        <w:tc>
          <w:tcPr>
            <w:tcW w:type="dxa" w:w="2160"/>
          </w:tcPr>
          <w:p>
            <w:r/>
            <w:r>
              <w:t>month out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SAGE</w:t>
            </w:r>
          </w:p>
        </w:tc>
      </w:tr>
    </w:tbl>
    <w:p/>
    <w:p>
      <w:r>
        <w:rPr>
          <w:b/>
        </w:rPr>
        <w:t>Total incremental infra cost at 1,000 DAU:</w:t>
      </w:r>
      <w:r>
        <w:t xml:space="preserve"> ~$50-80/month. Trivial vs the value of actually knowing what's happening.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Privacy + compliance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Concern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Control</w:t>
            </w:r>
          </w:p>
        </w:tc>
      </w:tr>
      <w:tr>
        <w:tc>
          <w:tcPr>
            <w:tcW w:type="dxa" w:w="4320"/>
          </w:tcPr>
          <w:p>
            <w:r/>
            <w:r>
              <w:t>GDPR Art. 6 (lawful basis)</w:t>
            </w:r>
          </w:p>
        </w:tc>
        <w:tc>
          <w:tcPr>
            <w:tcW w:type="dxa" w:w="4320"/>
          </w:tcPr>
          <w:p>
            <w:r/>
            <w:r>
              <w:t>Consent at clickwrap + Privacy Policy §4 (already live)</w:t>
            </w:r>
          </w:p>
        </w:tc>
      </w:tr>
      <w:tr>
        <w:tc>
          <w:tcPr>
            <w:tcW w:type="dxa" w:w="4320"/>
          </w:tcPr>
          <w:p>
            <w:r/>
            <w:r>
              <w:t>GDPR Art. 17 (right to erasure)</w:t>
            </w:r>
          </w:p>
        </w:tc>
        <w:tc>
          <w:tcPr>
            <w:tcW w:type="dxa" w:w="4320"/>
          </w:tcPr>
          <w:p>
            <w:r/>
            <w:r>
              <w:t>DELETE route removes from Silver + Gold within 30 days; Bronze auto-expires at 90 days</w:t>
            </w:r>
          </w:p>
        </w:tc>
      </w:tr>
      <w:tr>
        <w:tc>
          <w:tcPr>
            <w:tcW w:type="dxa" w:w="4320"/>
          </w:tcPr>
          <w:p>
            <w:r/>
            <w:r>
              <w:t>GDPR Art. 25 (privacy by design)</w:t>
            </w:r>
          </w:p>
        </w:tc>
        <w:tc>
          <w:tcPr>
            <w:tcW w:type="dxa" w:w="4320"/>
          </w:tcPr>
          <w:p>
            <w:r/>
            <w:r>
              <w:t>Bronze → Silver transform drops raw message content + IP below /24; never enters Silver</w:t>
            </w:r>
          </w:p>
        </w:tc>
      </w:tr>
      <w:tr>
        <w:tc>
          <w:tcPr>
            <w:tcW w:type="dxa" w:w="4320"/>
          </w:tcPr>
          <w:p>
            <w:r/>
            <w:r>
              <w:t>CCPA §1798.105 (right to delete)</w:t>
            </w:r>
          </w:p>
        </w:tc>
        <w:tc>
          <w:tcPr>
            <w:tcW w:type="dxa" w:w="4320"/>
          </w:tcPr>
          <w:p>
            <w:r/>
            <w:r>
              <w:t>Same as GDPR above; honored for all CA users automatically</w:t>
            </w:r>
          </w:p>
        </w:tc>
      </w:tr>
      <w:tr>
        <w:tc>
          <w:tcPr>
            <w:tcW w:type="dxa" w:w="4320"/>
          </w:tcPr>
          <w:p>
            <w:r/>
            <w:r>
              <w:t>COPPA</w:t>
            </w:r>
          </w:p>
        </w:tc>
        <w:tc>
          <w:tcPr>
            <w:tcW w:type="dxa" w:w="4320"/>
          </w:tcPr>
          <w:p>
            <w:r/>
            <w:r>
              <w:t>13+ attestation in clickwrap gate; no identifiers collected for users we can't verify</w:t>
            </w:r>
          </w:p>
        </w:tc>
      </w:tr>
      <w:tr>
        <w:tc>
          <w:tcPr>
            <w:tcW w:type="dxa" w:w="4320"/>
          </w:tcPr>
          <w:p>
            <w:r/>
            <w:r>
              <w:t>CA SB 243</w:t>
            </w:r>
          </w:p>
        </w:tc>
        <w:tc>
          <w:tcPr>
            <w:tcW w:type="dxa" w:w="4320"/>
          </w:tcPr>
          <w:p>
            <w:r/>
            <w:r>
              <w:t>/safety page already discloses + /safety/transparency will show aggregates</w:t>
            </w:r>
          </w:p>
        </w:tc>
      </w:tr>
      <w:tr>
        <w:tc>
          <w:tcPr>
            <w:tcW w:type="dxa" w:w="4320"/>
          </w:tcPr>
          <w:p>
            <w:r/>
            <w:r>
              <w:t>SOC 2 (future)</w:t>
            </w:r>
          </w:p>
        </w:tc>
        <w:tc>
          <w:tcPr>
            <w:tcW w:type="dxa" w:w="4320"/>
          </w:tcPr>
          <w:p>
            <w:r/>
            <w:r>
              <w:t>Audit trail in Bronze (immutable S3 object-lock) is the basis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The hard things I'd watch for</w:t>
      </w:r>
    </w:p>
    <w:p>
      <w:pPr>
        <w:pStyle w:val="ListNumber"/>
      </w:pPr>
      <w:r>
        <w:rPr>
          <w:b/>
        </w:rPr>
        <w:t>Goodhart's law.</w:t>
      </w:r>
      <w:r>
        <w:t xml:space="preserve"> The moment a metric becomes a target, it ceases to be a good metric. We must NEVER target NPS, MAU, or any single number. Use the triangulation rules from the feedback memo.</w:t>
      </w:r>
    </w:p>
    <w:p>
      <w:pPr>
        <w:pStyle w:val="ListNumber"/>
      </w:pPr>
      <w:r>
        <w:rPr>
          <w:b/>
        </w:rPr>
        <w:t>Sentinel over-reach.</w:t>
      </w:r>
      <w:r>
        <w:t xml:space="preserve"> The AI monitor will want to classify everything. Constrain its schema tightly + audit 5% of outputs weekly.</w:t>
      </w:r>
    </w:p>
    <w:p>
      <w:pPr>
        <w:pStyle w:val="ListNumber"/>
      </w:pPr>
      <w:r>
        <w:rPr>
          <w:b/>
        </w:rPr>
        <w:t>Creepy personalization.</w:t>
      </w:r>
      <w:r>
        <w:t xml:space="preserve"> Just because we can tag every emotion doesn't mean we should remember them. Memory should serve the user, not show them off.</w:t>
      </w:r>
    </w:p>
    <w:p>
      <w:pPr>
        <w:pStyle w:val="ListNumber"/>
      </w:pPr>
      <w:r>
        <w:rPr>
          <w:b/>
        </w:rPr>
        <w:t>False precision.</w:t>
      </w:r>
      <w:r>
        <w:t xml:space="preserve"> A dashboard that says "sentiment trending -3.2%" invites false confidence. Always show error bars or confidence intervals.</w:t>
      </w:r>
    </w:p>
    <w:p>
      <w:pPr>
        <w:pStyle w:val="ListNumber"/>
      </w:pPr>
      <w:r>
        <w:rPr>
          <w:b/>
        </w:rPr>
        <w:t>Cohort collapse.</w:t>
      </w:r>
      <w:r>
        <w:t xml:space="preserve"> At 6 users, single interesting users dominate averages. Don't publish per-cohort metrics until we have n ≥ 50 per cohort.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References</w:t>
      </w:r>
    </w:p>
    <w:p>
      <w:pPr>
        <w:pStyle w:val="ListBullet"/>
      </w:pPr>
      <w:r>
        <w:t xml:space="preserve">Kimball, R. (1996, 2013). </w:t>
      </w:r>
      <w:r>
        <w:rPr>
          <w:i/>
        </w:rPr>
        <w:t>The Data Warehouse Toolkit.</w:t>
      </w:r>
    </w:p>
    <w:p>
      <w:pPr>
        <w:pStyle w:val="ListBullet"/>
      </w:pPr>
      <w:r>
        <w:t>Cavoukian, A. (2010). "Privacy by Design: The 7 Foundational Principles."</w:t>
      </w:r>
    </w:p>
    <w:p>
      <w:pPr>
        <w:pStyle w:val="ListBullet"/>
      </w:pPr>
      <w:r>
        <w:t xml:space="preserve">Linstedt, D., &amp; Olschimke, M. (2015). </w:t>
      </w:r>
      <w:r>
        <w:rPr>
          <w:i/>
        </w:rPr>
        <w:t>Building a Scalable Data Warehouse with Data Vault 2.0</w:t>
      </w:r>
      <w:r>
        <w:t>.</w:t>
      </w:r>
    </w:p>
    <w:p>
      <w:pPr>
        <w:pStyle w:val="ListBullet"/>
      </w:pPr>
      <w:r>
        <w:t xml:space="preserve">Hofmann, K., et al. (2014). "Implicit feedback for interactive information retrieval." </w:t>
      </w:r>
      <w:r>
        <w:rPr>
          <w:i/>
        </w:rPr>
        <w:t>FnTIR</w:t>
      </w:r>
      <w:r>
        <w:t>.</w:t>
      </w:r>
    </w:p>
    <w:p>
      <w:pPr>
        <w:pStyle w:val="ListBullet"/>
      </w:pPr>
      <w:r>
        <w:t>Snowflake / Databricks Bronze-Silver-Gold lakehouse pattern (2020).</w:t>
      </w:r>
    </w:p>
    <w:p>
      <w:pPr>
        <w:pStyle w:val="ListBullet"/>
      </w:pPr>
      <w:r>
        <w:t>European Parliament. (2016). General Data Protection Regulation (GDPR).</w:t>
      </w:r>
    </w:p>
    <w:p>
      <w:pPr>
        <w:pStyle w:val="ListBullet"/>
      </w:pPr>
      <w:r>
        <w:t xml:space="preserve">NIST. (2023). </w:t>
      </w:r>
      <w:r>
        <w:rPr>
          <w:i/>
        </w:rPr>
        <w:t>AI Risk Management Framework (AI RMF 1.0)</w:t>
      </w:r>
      <w:r>
        <w:t>.</w:t>
      </w:r>
    </w:p>
    <w:p>
      <w:r>
        <w:t>— HERALD</w:t>
      </w:r>
    </w:p>
    <w:p>
      <w:r>
        <w:t>2026-04-21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