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TOTEM — Spend Tracker</w:t>
      </w:r>
    </w:p>
    <w:p>
      <w:r>
        <w:t xml:space="preserve">Budget: </w:t>
      </w:r>
      <w:r>
        <w:rPr>
          <w:b/>
        </w:rPr>
        <w:t>$25.00</w:t>
      </w:r>
    </w:p>
    <w:p>
      <w:r>
        <w:t xml:space="preserve">Spent: </w:t>
      </w:r>
      <w:r>
        <w:rPr>
          <w:b/>
        </w:rPr>
        <w:t>$0.00</w:t>
      </w:r>
    </w:p>
    <w:p>
      <w:r>
        <w:t xml:space="preserve">Remaining: </w:t>
      </w:r>
      <w:r>
        <w:rPr>
          <w:b/>
        </w:rPr>
        <w:t>$25.00</w:t>
      </w:r>
    </w:p>
    <w:p>
      <w:pPr>
        <w:spacing w:before="280" w:after="80"/>
      </w:pPr>
      <w:r>
        <w:rPr>
          <w:b/>
          <w:color w:val="141413"/>
          <w:sz w:val="36"/>
        </w:rPr>
        <w:t>Itemized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Date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Note</w:t>
            </w:r>
          </w:p>
        </w:tc>
      </w:tr>
      <w:tr>
        <w:tc>
          <w:tcPr>
            <w:tcW w:type="dxa" w:w="2160"/>
          </w:tcPr>
          <w:p>
            <w:r/>
            <w:r>
              <w:t>2026-05-09</w:t>
            </w:r>
          </w:p>
        </w:tc>
        <w:tc>
          <w:tcPr>
            <w:tcW w:type="dxa" w:w="2160"/>
          </w:tcPr>
          <w:p>
            <w:r/>
            <w:r>
              <w:t>Build (single-file HTML, hand-coded SVG glyphs)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No image gen, no audio gen — all glyphs/illustrations are hand-coded SVG</w:t>
            </w:r>
          </w:p>
        </w:tc>
      </w:tr>
      <w:tr>
        <w:tc>
          <w:tcPr>
            <w:tcW w:type="dxa" w:w="2160"/>
          </w:tcPr>
          <w:p>
            <w:r/>
            <w:r>
              <w:t>2026-05-09</w:t>
            </w:r>
          </w:p>
        </w:tc>
        <w:tc>
          <w:tcPr>
            <w:tcW w:type="dxa" w:w="2160"/>
          </w:tcPr>
          <w:p>
            <w:r/>
            <w:r>
              <w:t>Hosting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S3 + CloudFront under existing innerverse-voice-scratch bucket</w:t>
            </w:r>
          </w:p>
        </w:tc>
      </w:tr>
      <w:tr>
        <w:tc>
          <w:tcPr>
            <w:tcW w:type="dxa" w:w="2160"/>
          </w:tcPr>
          <w:p>
            <w:r/>
            <w:r>
              <w:t>2026-05-09</w:t>
            </w:r>
          </w:p>
        </w:tc>
        <w:tc>
          <w:tcPr>
            <w:tcW w:type="dxa" w:w="2160"/>
          </w:tcPr>
          <w:p>
            <w:r/>
            <w:r>
              <w:t>Cert/DNS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Existing wildcard cert + Route 53 zone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Rationale</w:t>
      </w:r>
    </w:p>
    <w:p>
      <w:r>
        <w:t>All animal icons rendered as hand-built geometric SVG primitives (jaws, wings, eyes, antlers, scales) — fits the "leather-bound bestiary" aesthetic better than photoreal AI images and costs zero. Voice ritual feature deferred to paid tier (stub UI, no real audio gen burned for v1).</w:t>
      </w:r>
    </w:p>
    <w:p>
      <w:pPr>
        <w:spacing w:before="280" w:after="80"/>
      </w:pPr>
      <w:r>
        <w:rPr>
          <w:b/>
          <w:color w:val="141413"/>
          <w:sz w:val="36"/>
        </w:rPr>
        <w:t>Reserve</w:t>
      </w:r>
    </w:p>
    <w:p>
      <w:r>
        <w:t>$25 held for: ElevenLabs voice ritual generation if Harnoor approves the audio feature post-launch (~$5/voice × 12 archetypes = $60 — only if scoped down).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