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ANGELS · Spend Ledger</w:t>
      </w:r>
    </w:p>
    <w:p>
      <w:pPr>
        <w:spacing w:before="280" w:after="80"/>
      </w:pPr>
      <w:r>
        <w:rPr>
          <w:b/>
          <w:color w:val="141413"/>
          <w:sz w:val="36"/>
        </w:rPr>
        <w:t>Budget: $25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Tool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160"/>
          </w:tcPr>
          <w:p>
            <w:r/>
            <w:r>
              <w:t>4 cosmic art tiles (top-4 dominant numbers visualization)</w:t>
            </w:r>
          </w:p>
        </w:tc>
        <w:tc>
          <w:tcPr>
            <w:tcW w:type="dxa" w:w="2160"/>
          </w:tcPr>
          <w:p>
            <w:r/>
            <w:r>
              <w:t>Imagen 4 via Vertex AI</w:t>
            </w:r>
          </w:p>
        </w:tc>
        <w:tc>
          <w:tcPr>
            <w:tcW w:type="dxa" w:w="2160"/>
          </w:tcPr>
          <w:p>
            <w:r/>
            <w:r>
              <w:t>~$0.16</w:t>
            </w:r>
          </w:p>
        </w:tc>
        <w:tc>
          <w:tcPr>
            <w:tcW w:type="dxa" w:w="2160"/>
          </w:tcPr>
          <w:p>
            <w:r/>
            <w:r>
              <w:t>$0.04/image × 4. Currently not needed — CSS/Cormorant achieves the same effect. Hold for v2.</w:t>
            </w:r>
          </w:p>
        </w:tc>
      </w:tr>
      <w:tr>
        <w:tc>
          <w:tcPr>
            <w:tcW w:type="dxa" w:w="2160"/>
          </w:tcPr>
          <w:p>
            <w:r/>
            <w:r>
              <w:t>Google Fonts (Cormorant Garamond + Inter + JetBrains Mono)</w:t>
            </w:r>
          </w:p>
        </w:tc>
        <w:tc>
          <w:tcPr>
            <w:tcW w:type="dxa" w:w="2160"/>
          </w:tcPr>
          <w:p>
            <w:r/>
            <w:r>
              <w:t>CDN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Free</w:t>
            </w:r>
          </w:p>
        </w:tc>
      </w:tr>
      <w:tr>
        <w:tc>
          <w:tcPr>
            <w:tcW w:type="dxa" w:w="2160"/>
          </w:tcPr>
          <w:p>
            <w:r/>
            <w:r>
              <w:t>S3 storage (index.html + landing.html, ~80KB total)</w:t>
            </w:r>
          </w:p>
        </w:tc>
        <w:tc>
          <w:tcPr>
            <w:tcW w:type="dxa" w:w="2160"/>
          </w:tcPr>
          <w:p>
            <w:r/>
            <w:r>
              <w:t>AWS S3</w:t>
            </w:r>
          </w:p>
        </w:tc>
        <w:tc>
          <w:tcPr>
            <w:tcW w:type="dxa" w:w="2160"/>
          </w:tcPr>
          <w:p>
            <w:r/>
            <w:r>
              <w:t>~$0.00</w:t>
            </w:r>
          </w:p>
        </w:tc>
        <w:tc>
          <w:tcPr>
            <w:tcW w:type="dxa" w:w="2160"/>
          </w:tcPr>
          <w:p>
            <w:r/>
            <w:r>
              <w:t>Negligible at this size</w:t>
            </w:r>
          </w:p>
        </w:tc>
      </w:tr>
      <w:tr>
        <w:tc>
          <w:tcPr>
            <w:tcW w:type="dxa" w:w="2160"/>
          </w:tcPr>
          <w:p>
            <w:r/>
            <w:r>
              <w:t>CloudFront distribution</w:t>
            </w:r>
          </w:p>
        </w:tc>
        <w:tc>
          <w:tcPr>
            <w:tcW w:type="dxa" w:w="2160"/>
          </w:tcPr>
          <w:p>
            <w:r/>
            <w:r>
              <w:t>AWS CF</w:t>
            </w:r>
          </w:p>
        </w:tc>
        <w:tc>
          <w:tcPr>
            <w:tcW w:type="dxa" w:w="2160"/>
          </w:tcPr>
          <w:p>
            <w:r/>
            <w:r>
              <w:t>~$0.00</w:t>
            </w:r>
          </w:p>
        </w:tc>
        <w:tc>
          <w:tcPr>
            <w:tcW w:type="dxa" w:w="2160"/>
          </w:tcPr>
          <w:p>
            <w:r/>
            <w:r>
              <w:t>PriceClass_100, ~$0.009/10K requests</w:t>
            </w:r>
          </w:p>
        </w:tc>
      </w:tr>
      <w:tr>
        <w:tc>
          <w:tcPr>
            <w:tcW w:type="dxa" w:w="2160"/>
          </w:tcPr>
          <w:p>
            <w:r/>
            <w:r>
              <w:t>Route 53 alias record</w:t>
            </w:r>
          </w:p>
        </w:tc>
        <w:tc>
          <w:tcPr>
            <w:tcW w:type="dxa" w:w="2160"/>
          </w:tcPr>
          <w:p>
            <w:r/>
            <w:r>
              <w:t>AWS R53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Existing hosted zone</w:t>
            </w:r>
          </w:p>
        </w:tc>
      </w:tr>
      <w:tr>
        <w:tc>
          <w:tcPr>
            <w:tcW w:type="dxa" w:w="2160"/>
          </w:tcPr>
          <w:p>
            <w:r/>
            <w:r>
              <w:t>ACM certificate</w:t>
            </w:r>
          </w:p>
        </w:tc>
        <w:tc>
          <w:tcPr>
            <w:tcW w:type="dxa" w:w="2160"/>
          </w:tcPr>
          <w:p>
            <w:r/>
            <w:r>
              <w:t>AWS ACM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Existing wildcard cert, reused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Actual Spend: $0.00</w:t>
      </w:r>
    </w:p>
    <w:p>
      <w:r>
        <w:t>All assets are text + CSS + system fonts loaded via Google CDN. No image generation needed for MVP — the Cormorant Garamond + JetBrains Mono number display with CSS cyan glow achieves the "cosmic art tile" feel without any AI spend.</w:t>
      </w:r>
    </w:p>
    <w:p>
      <w:pPr>
        <w:spacing w:before="280" w:after="80"/>
      </w:pPr>
      <w:r>
        <w:rPr>
          <w:b/>
          <w:color w:val="141413"/>
          <w:sz w:val="36"/>
        </w:rPr>
        <w:t>Reserved Headroom</w:t>
      </w:r>
    </w:p>
    <w:p>
      <w:pPr>
        <w:pStyle w:val="ListBullet"/>
      </w:pPr>
      <w:r>
        <w:t>$0.16 for 4 Imagen 4 tiles if Harnoor wants photographic cosmic art for the Pattern tab cards</w:t>
      </w:r>
    </w:p>
    <w:p>
      <w:pPr>
        <w:pStyle w:val="ListBullet"/>
      </w:pPr>
      <w:r>
        <w:t>$24.84 remaining in $25 budget — available for Pro email infrastructure (SES), push notification service, or A/B test landing pages</w:t>
      </w:r>
    </w:p>
    <w:p>
      <w:pPr>
        <w:spacing w:before="280" w:after="80"/>
      </w:pPr>
      <w:r>
        <w:rPr>
          <w:b/>
          <w:color w:val="141413"/>
          <w:sz w:val="36"/>
        </w:rPr>
        <w:t>Infrastructure</w:t>
      </w:r>
    </w:p>
    <w:p>
      <w:pPr>
        <w:pStyle w:val="ListBullet"/>
      </w:pPr>
      <w:r>
        <w:t xml:space="preserve">Bucket: </w:t>
      </w:r>
      <w:r>
        <w:t>innerverse-voice-scratch</w:t>
      </w:r>
    </w:p>
    <w:p>
      <w:pPr>
        <w:pStyle w:val="ListBullet"/>
      </w:pPr>
      <w:r>
        <w:t xml:space="preserve">Prefix: </w:t>
      </w:r>
      <w:r>
        <w:t>oracle/angels/</w:t>
      </w:r>
    </w:p>
    <w:p>
      <w:pPr>
        <w:pStyle w:val="ListBullet"/>
      </w:pPr>
      <w:r>
        <w:t>CloudFront: new distribution (or reuse if oracle hub distro covers *.silentinfinity.com subdomains)</w:t>
      </w:r>
    </w:p>
    <w:p>
      <w:pPr>
        <w:pStyle w:val="ListBullet"/>
      </w:pPr>
      <w:r>
        <w:t>No ACL (bucket policy handles public read via CF OAI)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