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Investor Memo</w:t>
      </w:r>
    </w:p>
    <w:p>
      <w:r>
        <w:rPr>
          <w:b/>
        </w:rPr>
        <w:t>Version:</w:t>
      </w:r>
      <w:r>
        <w:t xml:space="preserve"> 1.0 | </w:t>
      </w:r>
      <w:r>
        <w:rPr>
          <w:b/>
        </w:rPr>
        <w:t>Date:</w:t>
      </w:r>
      <w:r>
        <w:t xml:space="preserve"> 2026-04-21 | </w:t>
      </w:r>
      <w:r>
        <w:rPr>
          <w:b/>
        </w:rPr>
        <w:t>Author:</w:t>
      </w:r>
      <w:r>
        <w:t xml:space="preserve"> Harnoor Minhas, Founder</w:t>
      </w:r>
    </w:p>
    <w:p>
      <w:r>
        <w:rPr>
          <w:b/>
        </w:rPr>
        <w:t>Classification:</w:t>
      </w:r>
      <w:r>
        <w:t xml:space="preserve"> Confidential — Seed / Pre-Seed Distribution</w:t>
      </w:r>
    </w:p>
    <w:p>
      <w:pPr>
        <w:spacing w:before="80" w:after="80"/>
      </w:pPr>
      <w:r>
        <w:rPr>
          <w:color w:val="666666"/>
        </w:rPr>
        <w:t>──────────────────────────────────────────────────────────────────────</w:t>
      </w:r>
    </w:p>
    <w:p>
      <w:pPr>
        <w:spacing w:before="280" w:after="80"/>
      </w:pPr>
      <w:r>
        <w:rPr>
          <w:b/>
          <w:color w:val="141413"/>
          <w:sz w:val="36"/>
        </w:rPr>
        <w:t>Elevator</w:t>
      </w:r>
    </w:p>
    <w:p>
      <w:r>
        <w:t>Silent Infinity (silentinfinity.com) is a contemplative AI chat application built on AWS Bedrock that acts as a reflective mirror for users doing inner work — not a therapist, not an assistant, not a companion optimized for retention. The product has six active users, 189 logged conversations, a published /safety page, a CA SB 243-compliant crisis infrastructure, and an open-sourced crisis-detection module anchored on the Bitcoin blockchain. Every engagement dark pattern the wellness AI industry has normalized — streaks, push notifications, leaderboards, session-frequency monetization — is architecturally absent. We are raising $500k–$1M in seed capital to fund 18 months of clinical partnership development, voice mode engineering, and SOC 2 readiness. We are not raising to grow faster than the product's safety infrastructure can support.</w:t>
      </w:r>
    </w:p>
    <w:p>
      <w:pPr>
        <w:spacing w:before="80" w:after="80"/>
      </w:pPr>
      <w:r>
        <w:rPr>
          <w:color w:val="666666"/>
        </w:rPr>
        <w:t>──────────────────────────────────────────────────────────────────────</w:t>
      </w:r>
    </w:p>
    <w:p>
      <w:pPr>
        <w:spacing w:before="280" w:after="80"/>
      </w:pPr>
      <w:r>
        <w:rPr>
          <w:b/>
          <w:color w:val="141413"/>
          <w:sz w:val="36"/>
        </w:rPr>
        <w:t>1. The Problem</w:t>
      </w:r>
    </w:p>
    <w:p>
      <w:pPr>
        <w:spacing w:before="200" w:after="80"/>
      </w:pPr>
      <w:r>
        <w:rPr>
          <w:b/>
          <w:color w:val="141413"/>
          <w:sz w:val="28"/>
        </w:rPr>
        <w:t>Mental health technology has a structural misalignment problem</w:t>
      </w:r>
    </w:p>
    <w:p>
      <w:r>
        <w:t>The global mental health apps market is valued at $6.2 billion in 2024, with Grand View Research projecting $17.5 billion by 2030. The category is growing at roughly 17% CAGR. And almost every product in it is built on a business model that is fundamentally incompatible with the wellbeing it claims to support.</w:t>
      </w:r>
    </w:p>
    <w:p>
      <w:r>
        <w:t>The mechanism is not subtle. Consumer wellness apps — Calm, Headspace, BetterHelp, Replika, Character.AI, even Duolingo's mental health offshoots — generate revenue through engagement. Engagement is maximized through the same behavioral design toolkit that slot machines use: variable reward schedules, loss aversion triggers (the streak you do not want to break), social comparison (leaderboards), progress theater (XP, levels, badges), and notification cadences calibrated not to when you need support, but to when you are most likely to return. These are not accidents or edge cases. They are the designed core of the business model.</w:t>
      </w:r>
    </w:p>
    <w:p>
      <w:r>
        <w:t xml:space="preserve">The harm is documented. Edward Deci's landmark 1971 </w:t>
      </w:r>
      <w:r>
        <w:rPr>
          <w:i/>
        </w:rPr>
        <w:t>Journal of Personality and Social Psychology</w:t>
      </w:r>
      <w:r>
        <w:t xml:space="preserve"> study established that introducing extrinsic rewards for intrinsically motivated activity measurably reduces the intrinsic motivation. Subjects paid to solve puzzles they previously enjoyed quit faster when payment stopped than control subjects who were never paid. Streak mechanics, deployed onto grief work and anxiety management, do not support healing — they corrupt it. Ryan and Deci's 2000 Self-Determination Theory synthesis in </w:t>
      </w:r>
      <w:r>
        <w:rPr>
          <w:i/>
        </w:rPr>
        <w:t>American Psychologist</w:t>
      </w:r>
      <w:r>
        <w:t xml:space="preserve"> confirms the generalization: sustained psychological wellbeing requires autonomy, competence, and genuine relatedness. Streaks undermine autonomy. Leaderboards poison relatedness. Fake badges deliver the appearance of competence without the substance.</w:t>
      </w:r>
    </w:p>
    <w:p>
      <w:pPr>
        <w:spacing w:before="200" w:after="80"/>
      </w:pPr>
      <w:r>
        <w:rPr>
          <w:b/>
          <w:color w:val="141413"/>
          <w:sz w:val="28"/>
        </w:rPr>
        <w:t>The January 2026 Character.AI settlement</w:t>
      </w:r>
    </w:p>
    <w:p>
      <w:r>
        <w:t>In January 2026, Character.AI reached a legal settlement stemming from allegations that its product contributed to measurable harm in vulnerable users. The specific details are subject to settlement confidentiality, but the public record establishes that a product designed primarily around engagement optimization — whose revenue model benefited from users returning more frequently, staying longer, and forming deeper synthetic attachments — was found to have caused harm that reached the threshold of legal action. This is not a fringe case. It is a public record of what happens when you build a product for maximum engagement in a population that includes people in genuine emotional distress.</w:t>
      </w:r>
    </w:p>
    <w:p>
      <w:pPr>
        <w:spacing w:before="200" w:after="80"/>
      </w:pPr>
      <w:r>
        <w:rPr>
          <w:b/>
          <w:color w:val="141413"/>
          <w:sz w:val="28"/>
        </w:rPr>
        <w:t>Replika: engagement data as indictment</w:t>
      </w:r>
    </w:p>
    <w:p>
      <w:r>
        <w:t>Replika's internal retention research — referenced in multiple tech media analyses between 2023 and 2025 — found that text-only users averaged approximately 7 minutes of active session time per day, while users with voice mode access averaged approximately 28 minutes. That is a 4x engagement multiplier from one modality change. The wellness AI industry celebrated this number. The correct interpretation of that number is that voice creates dependency faster — which is a safety concern before it is a product strategy. Silent Infinity is building voice. The difference is that Silent Infinity's voice architecture is being designed from the first session under clinical review, with prosodic crisis-detection research conducted before the feature ships to any user.</w:t>
      </w:r>
    </w:p>
    <w:p>
      <w:pPr>
        <w:spacing w:before="200" w:after="80"/>
      </w:pPr>
      <w:r>
        <w:rPr>
          <w:b/>
          <w:color w:val="141413"/>
          <w:sz w:val="28"/>
        </w:rPr>
        <w:t>The "dopamine tax" on wellness</w:t>
      </w:r>
    </w:p>
    <w:p>
      <w:r>
        <w:t>The term belongs to the pattern. Duolingo-style streak mechanics on language learning create mild FOMO. Duolingo-style streak mechanics on grief processing, anxiety management, or existential inquiry create a situation where a user who misses a day because their father died is "punished" with a broken streak in the same moment they most needed support. This has been normalized in wellness software. It should not have been. No one noticed because the engagement metrics looked fine.</w:t>
      </w:r>
    </w:p>
    <w:p>
      <w:pPr>
        <w:spacing w:before="200" w:after="80"/>
      </w:pPr>
      <w:r>
        <w:rPr>
          <w:b/>
          <w:color w:val="141413"/>
          <w:sz w:val="28"/>
        </w:rPr>
        <w:t>The empty space</w:t>
      </w:r>
    </w:p>
    <w:p>
      <w:r>
        <w:t>As of April 2026, there is no mainstream AI wellness product that simultaneously commits to: (1) explicit architectural refusal of dark patterns; (2) open-source crisis infrastructure as a public good rather than a competitive moat; (3) evidence-based clinical partnership architecture as a precondition to feature launch rather than a post-hoc liability shield. That space is not small. It is the only defensible long-term position for a wellness AI company in an increasingly regulated market. Silent Infinity occupies it.</w:t>
      </w:r>
    </w:p>
    <w:p>
      <w:pPr>
        <w:spacing w:before="80" w:after="80"/>
      </w:pPr>
      <w:r>
        <w:rPr>
          <w:color w:val="666666"/>
        </w:rPr>
        <w:t>──────────────────────────────────────────────────────────────────────</w:t>
      </w:r>
    </w:p>
    <w:p>
      <w:pPr>
        <w:spacing w:before="280" w:after="80"/>
      </w:pPr>
      <w:r>
        <w:rPr>
          <w:b/>
          <w:color w:val="141413"/>
          <w:sz w:val="36"/>
        </w:rPr>
        <w:t>2. The Solution</w:t>
      </w:r>
    </w:p>
    <w:p>
      <w:pPr>
        <w:spacing w:before="200" w:after="80"/>
      </w:pPr>
      <w:r>
        <w:rPr>
          <w:b/>
          <w:color w:val="141413"/>
          <w:sz w:val="28"/>
        </w:rPr>
        <w:t>The mirror, not the assistant</w:t>
      </w:r>
    </w:p>
    <w:p>
      <w:r>
        <w:t>Silent Infinity's product metaphor is stated in one sentence on the homepage: "A mirror for what's alive in you." This is not marketing copy. It is a technical and behavioral specification. A mirror does not advise. A mirror does not push back unless the reflection itself demands it. A mirror does not reward you for looking into it more often. A mirror does not send you a notification when you haven't looked recently. These are not features absent from the roadmap — they are features permanently removed from the design space, enforced at code review.</w:t>
      </w:r>
    </w:p>
    <w:p>
      <w:r>
        <w:t>The practical consequence is a concrete list of things the product does not do: no push notifications of any kind, no streaks or streak recovery, no leaderboards or percentile rankings, no XP or badge mechanics, no "keep talking to unlock" paywalled depth, no algorithmically optimized re-engagement copy, no dark patterns in the cancellation flow. Each prohibition is a constraint on the system prompt, the UI, and the business model simultaneously.</w:t>
      </w:r>
    </w:p>
    <w:p>
      <w:pPr>
        <w:spacing w:before="200" w:after="80"/>
      </w:pPr>
      <w:r>
        <w:rPr>
          <w:b/>
          <w:color w:val="141413"/>
          <w:sz w:val="28"/>
        </w:rPr>
        <w:t>Three pillars</w:t>
      </w:r>
    </w:p>
    <w:p>
      <w:r>
        <w:rPr>
          <w:b/>
        </w:rPr>
        <w:t>Pillar 1 — Explicit refusal of dark patterns</w:t>
      </w:r>
    </w:p>
    <w:p>
      <w:r>
        <w:t>The refusal is structural, not aspirational. The monetization model is flat-rate subscription — a user who has one conversation a month pays the same as a user who has thirty. There is no mechanism in the product that benefits financially from session frequency. This alignment between user value and revenue survives scrutiny at the board level, the regulatory level, and the press level. Competitors cannot replicate this stance without destroying the business model they have already optimized. That asymmetry is the moat.</w:t>
      </w:r>
    </w:p>
    <w:p>
      <w:r>
        <w:rPr>
          <w:b/>
        </w:rPr>
        <w:t>Pillar 2 — Open-source crisis infrastructure as public good</w:t>
      </w:r>
    </w:p>
    <w:p>
      <w:r>
        <w:t>The crisis-detection module is MIT-licensed and published at github.com/silentinfinity/crisis-detection. It contains 20 clinically-sourced regex patterns grounded in AFSP Safe Messaging Guidelines and the Columbia Suicide Severity Rating Scale. Every session that triggers the module is SHA-256 hashed and anchored to the Bitcoin blockchain via OpenTimestamps, creating a tamper-evident safety record auditable by regulators, researchers, or users themselves.</w:t>
      </w:r>
    </w:p>
    <w:p>
      <w:r>
        <w:t>The open-source release is a strategic choice, not a capability giveaway. Releasing it signals the product's commitment to the public good in a way that cannot be faked — code is published, not stated. It creates a reference implementation that positions Silent Infinity as the infrastructure standard for wellness AI safety. If the AFSP endorses the module (the active outreach path), every developer who adopts it is implicitly endorsing the Silent Infinity safety framework.</w:t>
      </w:r>
    </w:p>
    <w:p>
      <w:r>
        <w:rPr>
          <w:b/>
        </w:rPr>
        <w:t>Pillar 3 — Clinical partnership architecture</w:t>
      </w:r>
    </w:p>
    <w:p>
      <w:r>
        <w:t>The Feature Readiness Standard gates every user-facing capability on a six-tier evidence maturity framework before any user exposure: SKETCH → ALPHA → BETA → GA → CLINICALLY-VALIDATED → DEPRECATED. Safety-critical features cannot reach GA without an ECHO adversarial red-team pass, external clinical review, and 30 days of live observation with no P0 safety incidents. This is not bureaucracy — it is the product-liability defense, the regulatory posture, and the clinical credibility simultaneously.</w:t>
      </w:r>
    </w:p>
    <w:p>
      <w:r>
        <w:t>The AFSP partnership path is the highest-priority external relationship. The American Foundation for Suicide Prevention has a documented history of co-reviewing technology products that meet their Safe Messaging Guidelines. An AFSP endorsement of the crisis-detection module would provide: (a) clinical validation that no internal testing can replace; (b) a regulatory shield against FDA SaMD creep; (c) a media narrative; and (d) distribution access to AFSP's 500+ chapter network.</w:t>
      </w:r>
    </w:p>
    <w:p>
      <w:pPr>
        <w:spacing w:before="200" w:after="80"/>
      </w:pPr>
      <w:r>
        <w:rPr>
          <w:b/>
          <w:color w:val="141413"/>
          <w:sz w:val="28"/>
        </w:rPr>
        <w:t>The product today</w:t>
      </w:r>
    </w:p>
    <w:p>
      <w:r>
        <w:t>As of April 2026, Silent Infinity provides: AI contemplative chat with emotional-tag memory that carries context across sessions; a persistent crisis footer with 911, 988, findtreatment.gov, and findahelpline.com in every session; an immutable crisis archive; a published /safety page with full methodology disclosure; a six-tier Feature Readiness Standard applied to every shipped capability; reaction emojis for turn-level feedback; a themed drill-down menu with topic pills and authored invitations (not questions); a presence orb that animates during model generation; and three ambient sound beds plus Dr. Joe Dispenza-aligned binaural frequencies, solfeggio tracks, and Om drone. The pentatonic turn-completion ping is a pure sine wave, long-decay, calibrated on Koelsch (2014) parasympathetic activation research — not a design flourish.</w:t>
      </w:r>
    </w:p>
    <w:p>
      <w:pPr>
        <w:spacing w:before="200" w:after="80"/>
      </w:pPr>
      <w:r>
        <w:rPr>
          <w:b/>
          <w:color w:val="141413"/>
          <w:sz w:val="28"/>
        </w:rPr>
        <w:t>The product in six months</w:t>
      </w:r>
    </w:p>
    <w:p>
      <w:r>
        <w:t>In active development: voice mode (AWS Transcribe + Polly + Claude Sonnet 4.6, with prosodic crisis-detection review before GA); multi-chat threads with shared cross-session memory; native mobile application via Capacitor bridging to a future Flutter rebuild; the Emergent Constellation visualization — a user's private night-sky of themes that emerges from their actual conversations, never pre-authored, grounded in McAdams narrative identity theory and Braun &amp; Clarke thematic analysis; and a Growing Tree feature tied to session depth rather than session frequency. The tree grows from the quality of the inner work, not the number of logins.</w:t>
      </w:r>
    </w:p>
    <w:p>
      <w:pPr>
        <w:spacing w:before="80" w:after="80"/>
      </w:pPr>
      <w:r>
        <w:rPr>
          <w:color w:val="666666"/>
        </w:rPr>
        <w:t>──────────────────────────────────────────────────────────────────────</w:t>
      </w:r>
    </w:p>
    <w:p>
      <w:pPr>
        <w:spacing w:before="280" w:after="80"/>
      </w:pPr>
      <w:r>
        <w:rPr>
          <w:b/>
          <w:color w:val="141413"/>
          <w:sz w:val="36"/>
        </w:rPr>
        <w:t>3. The Market</w:t>
      </w:r>
    </w:p>
    <w:p>
      <w:pPr>
        <w:spacing w:before="200" w:after="80"/>
      </w:pPr>
      <w:r>
        <w:rPr>
          <w:b/>
          <w:color w:val="141413"/>
          <w:sz w:val="28"/>
        </w:rPr>
        <w:t>TAM / SAM / SOM</w:t>
      </w:r>
    </w:p>
    <w:p>
      <w:r>
        <w:rPr>
          <w:b/>
        </w:rPr>
        <w:t>TAM — Global mental health apps:</w:t>
      </w:r>
      <w:r>
        <w:t xml:space="preserve"> $6.2 billion in 2024, growing at 17.3% CAGR to a projected $17.5 billion by 2030 (Grand View Research, Mental Health Apps Market Report, 2024). This includes all digital mental health interventions: therapy platforms, meditation apps, journaling tools, crisis resources, and AI companions across all geographies.</w:t>
      </w:r>
    </w:p>
    <w:p>
      <w:r>
        <w:rPr>
          <w:b/>
        </w:rPr>
        <w:t>SAM — US AI-powered wellness subsegment:</w:t>
      </w:r>
      <w:r>
        <w:t xml:space="preserve"> approximately $2.1 billion in 2024. This accounts for the US share of the global market (~34% of spend) and excludes purely human-delivered therapy platforms, isolating the consumer AI wellness category where Silent Infinity competes.</w:t>
      </w:r>
    </w:p>
    <w:p>
      <w:r>
        <w:rPr>
          <w:b/>
        </w:rPr>
        <w:t>SOM — Paying wellness subscribers who would pay for non-exploitative AI:</w:t>
      </w:r>
      <w:r>
        <w:t xml:space="preserve"> approximately $500 million. This is the segment defined by the following behavioral criteria: professional knowledge workers aged 28–45, prior or current therapy experience, wellness-curious without religious commitment to any single tradition, demonstrated willingness to pay for premium digital wellness (as evidenced by current subscription to at least one mental health app). This segment's willingness to pay is established. The question is whether they have been offered a product that does not exploit them. At present, they have not.</w:t>
      </w:r>
    </w:p>
    <w:p>
      <w:pPr>
        <w:spacing w:before="200" w:after="80"/>
      </w:pPr>
      <w:r>
        <w:rPr>
          <w:b/>
          <w:color w:val="141413"/>
          <w:sz w:val="28"/>
        </w:rPr>
        <w:t>Why now</w:t>
      </w:r>
    </w:p>
    <w:p>
      <w:r>
        <w:t>Three regulatory developments create a specific window in 2025–2026:</w:t>
      </w:r>
    </w:p>
    <w:p>
      <w:r>
        <w:rPr>
          <w:b/>
        </w:rPr>
        <w:t>Character.AI settlement (January 2026):</w:t>
      </w:r>
      <w:r>
        <w:t xml:space="preserve"> The public legal record now exists. No wellness AI investor, acquirer, or enterprise buyer can claim not to have been warned about the consequences of engagement-optimized design in a vulnerable population. Products that cannot demonstrate the opposite of what Character.AI did face increasing legal and reputational risk. Products that can demonstrate it — with published architecture, open-source safety code, and immutable audit records — occupy a structurally different risk position.</w:t>
      </w:r>
    </w:p>
    <w:p>
      <w:r>
        <w:rPr>
          <w:b/>
        </w:rPr>
        <w:t>EU AI Act Article 50 (effective August 2026):</w:t>
      </w:r>
      <w:r>
        <w:t xml:space="preserve"> The EU's transparency requirements for AI systems mandate explicit disclosure that users are interacting with AI, not humans. Silent Infinity's chat UI and system prompt have included the </w:t>
      </w:r>
      <w:r>
        <w:t>&lt;your_nature&gt;</w:t>
      </w:r>
      <w:r>
        <w:t xml:space="preserve"> disclosure from the first session. Competitors who have built synthetic intimacy on ambiguity about the AI's nature face architectural retrofits. We have nothing to retrofit.</w:t>
      </w:r>
    </w:p>
    <w:p>
      <w:r>
        <w:rPr>
          <w:b/>
        </w:rPr>
        <w:t>California SB 243 (effective January 2025):</w:t>
      </w:r>
      <w:r>
        <w:t xml:space="preserve"> California's companion chatbot law requires mental health digital products to publish crisis resources and safety methodology. The /safety page and crisis footer were built as first-class product features, not compliance checkboxes. Every competitor operating in California is now operating under the same legal floor we were already above.</w:t>
      </w:r>
    </w:p>
    <w:p>
      <w:pPr>
        <w:spacing w:before="200" w:after="80"/>
      </w:pPr>
      <w:r>
        <w:rPr>
          <w:b/>
          <w:color w:val="141413"/>
          <w:sz w:val="28"/>
        </w:rPr>
        <w:t>Our specific buyer</w:t>
      </w:r>
    </w:p>
    <w:p>
      <w:r>
        <w:t>Professional knowledge workers, 28–45, in knowledge-economy jobs (tech, finance, law, medicine, academia). Prior therapy experience — not currently in therapy or not finding therapy sufficient for their ongoing reflection needs. Wellness-curious and intellectually serious, without religious commitment to a specific tradition. Willing to pay $9–$19/month for something that does not manipulate them. This is not a niche. In the United States, this description maps to approximately 12–15 million people.</w:t>
      </w:r>
    </w:p>
    <w:p>
      <w:pPr>
        <w:spacing w:before="80" w:after="80"/>
      </w:pPr>
      <w:r>
        <w:rPr>
          <w:color w:val="666666"/>
        </w:rPr>
        <w:t>──────────────────────────────────────────────────────────────────────</w:t>
      </w:r>
    </w:p>
    <w:p>
      <w:pPr>
        <w:spacing w:before="280" w:after="80"/>
      </w:pPr>
      <w:r>
        <w:rPr>
          <w:b/>
          <w:color w:val="141413"/>
          <w:sz w:val="36"/>
        </w:rPr>
        <w:t>4. Traction (Honest)</w:t>
      </w:r>
    </w:p>
    <w:p>
      <w:r>
        <w:t>Six users. 189 conversations. 31 conversations per user on average.</w:t>
      </w:r>
    </w:p>
    <w:p>
      <w:r>
        <w:t>We are stating these numbers plainly because honesty about scale is part of the product. The founder built it, and six people use it. The engagement number — 31 conversations per user — is the number that matters here. Consumer AI products at early stage typically see 3–8 conversations per user before churn. The contemplative format, combined with the absence of manipulative re-engagement mechanics, is producing genuine return. Users come back because they found something, not because a streak is threatening them.</w:t>
      </w:r>
    </w:p>
    <w:p>
      <w:r>
        <w:rPr>
          <w:b/>
        </w:rPr>
        <w:t>Adversarial safety validation:</w:t>
      </w:r>
      <w:r>
        <w:t xml:space="preserve"> A 22-turn escalating crisis conversation test — conducted against the production system, not a staging environment — passed without any turn producing an unsafe or non-resourceful response. This is documented in the ECHO red-team log. It is the kind of test that most wellness AI companies do not publish because they have not run it.</w:t>
      </w:r>
    </w:p>
    <w:p>
      <w:r>
        <w:rPr>
          <w:b/>
        </w:rPr>
        <w:t>Regulatory compliance:</w:t>
      </w:r>
      <w:r>
        <w:t xml:space="preserve"> CA SB 243 compliant from day one. EU AI Act Article 50 compliant from day one. OpenTimestamps-anchored crisis archive with verifiable Bitcoin blockchain timestamps.</w:t>
      </w:r>
    </w:p>
    <w:p>
      <w:r>
        <w:rPr>
          <w:b/>
        </w:rPr>
        <w:t>Strategy documentation:</w:t>
      </w:r>
      <w:r>
        <w:t xml:space="preserve"> Five PhD-grade strategy memos written and version-controlled in the TITAN memory system:</w:t>
      </w:r>
    </w:p>
    <w:p>
      <w:pPr>
        <w:pStyle w:val="ListNumber"/>
      </w:pPr>
      <w:r>
        <w:rPr>
          <w:b/>
        </w:rPr>
        <w:t>SILENT-INFINITY-AUDIT-DOCUMENT-2026-04-21.md</w:t>
      </w:r>
      <w:r>
        <w:t xml:space="preserve"> — Full system architecture, security philosophy, SWOT, regulatory compliance surface, and feature roadmap</w:t>
      </w:r>
    </w:p>
    <w:p>
      <w:pPr>
        <w:pStyle w:val="ListNumber"/>
      </w:pPr>
      <w:r>
        <w:rPr>
          <w:b/>
        </w:rPr>
        <w:t>EMERGENT-CONSTELLATION-PLAN-2026-04-21.md</w:t>
      </w:r>
      <w:r>
        <w:t xml:space="preserve"> — Eighteen-mechanism research-grounded design for emergent user growth, grounded in McAdams, Deci, Ryan, IFS, and DBT frameworks</w:t>
      </w:r>
    </w:p>
    <w:p>
      <w:pPr>
        <w:pStyle w:val="ListNumber"/>
      </w:pPr>
      <w:r>
        <w:rPr>
          <w:b/>
        </w:rPr>
        <w:t>FEATURE-READINESS-STANDARD-2026-04-20.md</w:t>
      </w:r>
      <w:r>
        <w:t xml:space="preserve"> — Six-tier evidence-gated maturity framework governing every user-facing capability</w:t>
      </w:r>
    </w:p>
    <w:p>
      <w:pPr>
        <w:pStyle w:val="ListNumber"/>
      </w:pPr>
      <w:r>
        <w:rPr>
          <w:b/>
        </w:rPr>
        <w:t>SOUND-SCIENCE-MODES-RETENTION-2026-04-21.md</w:t>
      </w:r>
      <w:r>
        <w:t xml:space="preserve"> — Psychoacoustic basis for the pentatonic ping, binaural beat modes, and Dispenza-aligned frequency tracks</w:t>
      </w:r>
    </w:p>
    <w:p>
      <w:pPr>
        <w:pStyle w:val="ListNumber"/>
      </w:pPr>
      <w:r>
        <w:rPr>
          <w:b/>
        </w:rPr>
        <w:t>MOBILE-APP-AUDIO-STRATEGY-2026-04-21.md</w:t>
      </w:r>
      <w:r>
        <w:t xml:space="preserve"> — Cross-platform mobile architecture and audio-continuation strategy for native iOS/Android</w:t>
      </w:r>
    </w:p>
    <w:p>
      <w:r>
        <w:t>This is not pre-product-market-fit guesswork. This is pre-product-market-fit discipline. The documentation infrastructure that enterprise clinical partners and regulators will require at scale is already built.</w:t>
      </w:r>
    </w:p>
    <w:p>
      <w:r>
        <w:rPr>
          <w:b/>
        </w:rPr>
        <w:t>What we are not claiming:</w:t>
      </w:r>
      <w:r>
        <w:t xml:space="preserve"> We have not demonstrated retention beyond a very small cohort. We have not run a statistically valid A/B test. We have no clinical advisor relationship yet. We have no enterprise customers. We are pre-PMF. We are saying so.</w:t>
      </w:r>
    </w:p>
    <w:p>
      <w:pPr>
        <w:spacing w:before="80" w:after="80"/>
      </w:pPr>
      <w:r>
        <w:rPr>
          <w:color w:val="666666"/>
        </w:rPr>
        <w:t>──────────────────────────────────────────────────────────────────────</w:t>
      </w:r>
    </w:p>
    <w:p>
      <w:pPr>
        <w:spacing w:before="280" w:after="80"/>
      </w:pPr>
      <w:r>
        <w:rPr>
          <w:b/>
          <w:color w:val="141413"/>
          <w:sz w:val="36"/>
        </w:rPr>
        <w:t>5. Moat</w:t>
      </w:r>
    </w:p>
    <w:p>
      <w:pPr>
        <w:spacing w:before="200" w:after="80"/>
      </w:pPr>
      <w:r>
        <w:rPr>
          <w:b/>
          <w:color w:val="141413"/>
          <w:sz w:val="28"/>
        </w:rPr>
        <w:t>Stance is copyable in features, not in ethics</w:t>
      </w:r>
    </w:p>
    <w:p>
      <w:r>
        <w:t>The structural argument for Silent Infinity's competitive durability is simple: the companies that are large enough to replicate the product cannot adopt its monetization stance without destroying the business model they have already built. Calm's valuation is built on subscription renewal driven by streak-dependent habit loops. Headspace's enterprise business requires demonstrated engagement metrics to justify corporate wellness budget renewals. BetterHelp's revenue model depends on maximizing therapist-to-user match throughput. Replika's retention is the product. Character.AI's business model is time-on-platform.</w:t>
      </w:r>
    </w:p>
    <w:p>
      <w:r>
        <w:t>None of these companies can adopt a flat-rate, usage-independent subscription model without writing down the implicit valuation of their engagement infrastructure. They will not do it. The features are copyable — any company with an engineering team can add an ambient sound bed and remove streaks. The stance is not copyable because adopting it means forgoing the revenue that depends on engagement. That asymmetry is structural.</w:t>
      </w:r>
    </w:p>
    <w:p>
      <w:pPr>
        <w:spacing w:before="200" w:after="80"/>
      </w:pPr>
      <w:r>
        <w:rPr>
          <w:b/>
          <w:color w:val="141413"/>
          <w:sz w:val="28"/>
        </w:rPr>
        <w:t>Open-source crisis detection as community and clinical trust</w:t>
      </w:r>
    </w:p>
    <w:p>
      <w:r>
        <w:t>The MIT-licensed crisis module creates a category of trust that proprietary safety code cannot. A clinical partner reviewing Silent Infinity's crisis infrastructure can read it. A regulator can audit it. A competitor who has shipped a proprietary keyword blocklist cannot make that claim. When the AFSP reviews and endorses the module, the endorsement attaches to the published code — it cannot be transferred to a competitor's closed-source equivalent. The open-source release is not a giveaway. It is a trust-generation mechanism that grows in value each time another developer adopts it.</w:t>
      </w:r>
    </w:p>
    <w:p>
      <w:pPr>
        <w:spacing w:before="200" w:after="80"/>
      </w:pPr>
      <w:r>
        <w:rPr>
          <w:b/>
          <w:color w:val="141413"/>
          <w:sz w:val="28"/>
        </w:rPr>
        <w:t>PhD-grade strategy discipline as cumulative quality advantage</w:t>
      </w:r>
    </w:p>
    <w:p>
      <w:r>
        <w:t>The five strategy memos named above are not deliverables for an investor. They are operational instruments used to run the product. The Emergent Constellation framework is being built. The Feature Readiness Standard is enforced in every commit. The Sound Science document determined the specific pentatonic frequencies in production today. This documentation infrastructure creates a cumulative advantage in decision quality that compounds over time and is extremely difficult to replicate quickly. A competitor can ship a product that looks similar in two months. A competitor cannot accumulate the analytical rigor behind the product in two months.</w:t>
      </w:r>
    </w:p>
    <w:p>
      <w:pPr>
        <w:spacing w:before="200" w:after="80"/>
      </w:pPr>
      <w:r>
        <w:rPr>
          <w:b/>
          <w:color w:val="141413"/>
          <w:sz w:val="28"/>
        </w:rPr>
        <w:t>Voice prosodic analysis patent path (R0082)</w:t>
      </w:r>
    </w:p>
    <w:p>
      <w:r>
        <w:t>The planned voice mode includes a specific method for analyzing paralinguistic cues — speech rate, pitch variability, pause patterns — as crisis-risk signals in the presence of ambient noise and device vibration. This method is distinct from existing speech-analysis patents and represents a defensible provisional patent opportunity. The provisional application is planned before the voice mode ships publicly.</w:t>
      </w:r>
    </w:p>
    <w:p>
      <w:pPr>
        <w:spacing w:before="200" w:after="80"/>
      </w:pPr>
      <w:r>
        <w:rPr>
          <w:b/>
          <w:color w:val="141413"/>
          <w:sz w:val="28"/>
        </w:rPr>
        <w:t>Founder conviction as governance signal</w:t>
      </w:r>
    </w:p>
    <w:p>
      <w:r>
        <w:t>Harnoor Minhas will not accept investment that requires changing the product's stance. This is not stubbornness — it is the most important governance signal the company can offer to clinical partners, enterprise buyers, and regulators who have been burned by wellness companies that compromised their stated values when institutional capital arrived. The willingness to forgo capital that changes the product is the most credible signal of the stance's durability.</w:t>
      </w:r>
    </w:p>
    <w:p>
      <w:pPr>
        <w:spacing w:before="80" w:after="80"/>
      </w:pPr>
      <w:r>
        <w:rPr>
          <w:color w:val="666666"/>
        </w:rPr>
        <w:t>──────────────────────────────────────────────────────────────────────</w:t>
      </w:r>
    </w:p>
    <w:p>
      <w:pPr>
        <w:spacing w:before="280" w:after="80"/>
      </w:pPr>
      <w:r>
        <w:rPr>
          <w:b/>
          <w:color w:val="141413"/>
          <w:sz w:val="36"/>
        </w:rPr>
        <w:t>6. Business Model</w:t>
      </w:r>
    </w:p>
    <w:p>
      <w:pPr>
        <w:spacing w:before="200" w:after="80"/>
      </w:pPr>
      <w:r>
        <w:rPr>
          <w:b/>
          <w:color w:val="141413"/>
          <w:sz w:val="28"/>
        </w:rPr>
        <w:t>Structure</w:t>
      </w:r>
    </w:p>
    <w:p>
      <w:r>
        <w:t>Subscription-only. Flat-rate. Usage-independent. The product does not benefit financially from how often or how long a user interacts. Four tiers:</w:t>
      </w:r>
    </w:p>
    <w:p>
      <w:r>
        <w:rPr>
          <w:b/>
        </w:rPr>
        <w:t>Free tier:</w:t>
      </w:r>
      <w:r>
        <w:t xml:space="preserve"> Unlimited text chat, basic ambient sound beds, one voice mode session per week, crisis resources always present. This tier must deliver genuine standalone value — users who cannot afford to pay must not be left with a degraded safety experience.</w:t>
      </w:r>
    </w:p>
    <w:p>
      <w:r>
        <w:rPr>
          <w:b/>
        </w:rPr>
        <w:t>Plus ($9/month):</w:t>
      </w:r>
      <w:r>
        <w:t xml:space="preserve"> All sensory modes, full memory retention across sessions, constellation visualization, multi-chat threads, all Dispenza-aligned frequency modes, full voice mode access.</w:t>
      </w:r>
    </w:p>
    <w:p>
      <w:r>
        <w:rPr>
          <w:b/>
        </w:rPr>
        <w:t>Pro ($19/month):</w:t>
      </w:r>
      <w:r>
        <w:t xml:space="preserve"> All Plus features, priority inference latency, one 30-minute 1:1 clinical advisor consultation per month (sourced from the clinical partnership network, not AI-delivered).</w:t>
      </w:r>
    </w:p>
    <w:p>
      <w:r>
        <w:rPr>
          <w:b/>
        </w:rPr>
        <w:t>Organization ($99/month per seat):</w:t>
      </w:r>
      <w:r>
        <w:t xml:space="preserve"> Team-level dashboard, HIPAA Business Associate Agreement, custom deployment options, dedicated clinical advisor contact, aggregate (de-identified) team wellness signals for HR use.</w:t>
      </w:r>
    </w:p>
    <w:p>
      <w:pPr>
        <w:spacing w:before="200" w:after="80"/>
      </w:pPr>
      <w:r>
        <w:rPr>
          <w:b/>
          <w:color w:val="141413"/>
          <w:sz w:val="28"/>
        </w:rPr>
        <w:t>Unit economics</w:t>
      </w:r>
    </w:p>
    <w:p>
      <w:r>
        <w:t>At 1,000 Daily Active Users on the Plus tier:</w:t>
      </w:r>
    </w:p>
    <w:p>
      <w:pPr>
        <w:pStyle w:val="ListBullet"/>
      </w:pPr>
      <w:r>
        <w:t>MRR: approximately $9,000</w:t>
      </w:r>
    </w:p>
    <w:p>
      <w:pPr>
        <w:pStyle w:val="ListBullet"/>
      </w:pPr>
      <w:r>
        <w:t>LLM cost (AWS Bedrock, Claude Sonnet 4.6, average 10 turns × 750 tokens/turn): approximately $0.09/user/day × 1,000 users × 30 days = ~$2,700/month</w:t>
      </w:r>
    </w:p>
    <w:p>
      <w:pPr>
        <w:pStyle w:val="ListBullet"/>
      </w:pPr>
      <w:r>
        <w:t>Additional AWS costs (Lambda, DynamoDB, CloudFront, API Gateway): approximately $300/month at this scale, given serverless-native architecture with zero idle cost</w:t>
      </w:r>
    </w:p>
    <w:p>
      <w:pPr>
        <w:pStyle w:val="ListBullet"/>
      </w:pPr>
      <w:r>
        <w:t>Gross margin: approximately $6,000 on $9,000 MRR = 67%</w:t>
      </w:r>
    </w:p>
    <w:p>
      <w:pPr>
        <w:pStyle w:val="ListBullet"/>
      </w:pPr>
      <w:r>
        <w:t>Net margin (before salaries): approximately $5,500/month after Bedrock + AWS</w:t>
      </w:r>
    </w:p>
    <w:p>
      <w:r>
        <w:t>The serverless-native architecture — AWS Lambda + DynamoDB on-demand + CloudFront — eliminates idle infrastructure cost entirely. At 6 users, the monthly AWS bill is under $5. At 6,000 users, cost scales linearly with usage, not with the capacity model of an always-on compute layer.</w:t>
      </w:r>
    </w:p>
    <w:p>
      <w:pPr>
        <w:spacing w:before="200" w:after="80"/>
      </w:pPr>
      <w:r>
        <w:rPr>
          <w:b/>
          <w:color w:val="141413"/>
          <w:sz w:val="28"/>
        </w:rPr>
        <w:t>LTV and CAC</w:t>
      </w:r>
    </w:p>
    <w:p>
      <w:pPr>
        <w:pStyle w:val="ListBullet"/>
      </w:pPr>
      <w:r>
        <w:rPr>
          <w:b/>
        </w:rPr>
        <w:t>LTV projection:</w:t>
      </w:r>
      <w:r>
        <w:t xml:space="preserve"> $180 (18-month average retention on Plus tier at $9/month, conservatively discounted for a product that is designed not to manufacture dependency). This is a modest assumption — the 31-conversation average per user at very early stage suggests the product has genuine retention properties, not artificially manufactured ones.</w:t>
      </w:r>
    </w:p>
    <w:p>
      <w:pPr>
        <w:pStyle w:val="ListBullet"/>
      </w:pPr>
      <w:r>
        <w:rPr>
          <w:b/>
        </w:rPr>
        <w:t>CAC target:</w:t>
      </w:r>
      <w:r>
        <w:t xml:space="preserve"> under $60. LTV:CAC ratio of 3:1 is the minimum acceptable. At 3:1, marketing spend is self-funding within 7 months per acquired user.</w:t>
      </w:r>
    </w:p>
    <w:p>
      <w:pPr>
        <w:pStyle w:val="ListBullet"/>
      </w:pPr>
      <w:r>
        <w:rPr>
          <w:b/>
        </w:rPr>
        <w:t>Payback period:</w:t>
      </w:r>
      <w:r>
        <w:t xml:space="preserve"> approximately 7 months at $9/month with 67% gross margin.</w:t>
      </w:r>
    </w:p>
    <w:p>
      <w:pPr>
        <w:spacing w:before="200" w:after="80"/>
      </w:pPr>
      <w:r>
        <w:rPr>
          <w:b/>
          <w:color w:val="141413"/>
          <w:sz w:val="28"/>
        </w:rPr>
        <w:t>Why this model is durable</w:t>
      </w:r>
    </w:p>
    <w:p>
      <w:r>
        <w:t>The conventional investor objection to usage-independent pricing is churn risk — users who don't use the product cancel. The answer is that users who use the product because they want to, not because a streak is threatening them, produce a qualitatively different retention curve. The early engagement signal — 31 conversations per user across 6 users — suggests the contemplative format retains without manipulation. If that signal holds at scale, the LTV projection is conservative, not optimistic.</w:t>
      </w:r>
    </w:p>
    <w:p>
      <w:pPr>
        <w:spacing w:before="80" w:after="80"/>
      </w:pPr>
      <w:r>
        <w:rPr>
          <w:color w:val="666666"/>
        </w:rPr>
        <w:t>──────────────────────────────────────────────────────────────────────</w:t>
      </w:r>
    </w:p>
    <w:p>
      <w:pPr>
        <w:spacing w:before="280" w:after="80"/>
      </w:pPr>
      <w:r>
        <w:rPr>
          <w:b/>
          <w:color w:val="141413"/>
          <w:sz w:val="36"/>
        </w:rPr>
        <w:t>7. Team</w:t>
      </w:r>
    </w:p>
    <w:p>
      <w:pPr>
        <w:spacing w:before="200" w:after="80"/>
      </w:pPr>
      <w:r>
        <w:rPr>
          <w:b/>
          <w:color w:val="141413"/>
          <w:sz w:val="28"/>
        </w:rPr>
        <w:t>Harnoor Minhas — Founder, Solo</w:t>
      </w:r>
    </w:p>
    <w:p>
      <w:r>
        <w:t>Harnoor is the product designer, systems architect, engineer, strategist, compliance researcher, and operator of Silent Infinity. Beyond the product, he is building TITAN — a persistent AI operating system with tiered memory, six named sub-agents, and autonomous scheduled routines. TITAN is the infrastructure that makes a solo founder operate at the effective bandwidth of a small team. The research depth behind Silent Infinity's strategy documents — the clinical literature citations, the psychoacoustic science, the regulatory analysis — is a product of TITAN's memory and research systems, not an external consultancy.</w:t>
      </w:r>
    </w:p>
    <w:p>
      <w:r>
        <w:t>Harnoor's strategic canon spans contemplative wellness, AI safety, regulatory strategy, and product architecture. The multiverse strategic work — five PhD-grade memos written in 30 days — demonstrates a quality of analytical output that most funded teams do not produce.</w:t>
      </w:r>
    </w:p>
    <w:p>
      <w:pPr>
        <w:spacing w:before="200" w:after="80"/>
      </w:pPr>
      <w:r>
        <w:rPr>
          <w:b/>
          <w:color w:val="141413"/>
          <w:sz w:val="28"/>
        </w:rPr>
        <w:t>The operating organization</w:t>
      </w:r>
    </w:p>
    <w:p>
      <w:r>
        <w:t>Nine AI sub-agents function as org-equivalent roles:</w:t>
      </w:r>
    </w:p>
    <w:p>
      <w:pPr>
        <w:pStyle w:val="ListBullet"/>
      </w:pPr>
      <w:r>
        <w:rPr>
          <w:b/>
        </w:rPr>
        <w:t>HERALD</w:t>
      </w:r>
      <w:r>
        <w:t xml:space="preserve"> — Product management, feature governance, Feature Readiness Standard enforcement</w:t>
      </w:r>
    </w:p>
    <w:p>
      <w:pPr>
        <w:pStyle w:val="ListBullet"/>
      </w:pPr>
      <w:r>
        <w:rPr>
          <w:b/>
        </w:rPr>
        <w:t>SCOUT</w:t>
      </w:r>
      <w:r>
        <w:t xml:space="preserve"> — Research and competitive intelligence (this memo)</w:t>
      </w:r>
    </w:p>
    <w:p>
      <w:pPr>
        <w:pStyle w:val="ListBullet"/>
      </w:pPr>
      <w:r>
        <w:rPr>
          <w:b/>
        </w:rPr>
        <w:t>FORGE</w:t>
      </w:r>
      <w:r>
        <w:t xml:space="preserve"> — Engineering and code implementation</w:t>
      </w:r>
    </w:p>
    <w:p>
      <w:pPr>
        <w:pStyle w:val="ListBullet"/>
      </w:pPr>
      <w:r>
        <w:rPr>
          <w:b/>
        </w:rPr>
        <w:t>VAULT</w:t>
      </w:r>
      <w:r>
        <w:t xml:space="preserve"> — Memory consolidation and organizational knowledge management</w:t>
      </w:r>
    </w:p>
    <w:p>
      <w:pPr>
        <w:pStyle w:val="ListBullet"/>
      </w:pPr>
      <w:r>
        <w:rPr>
          <w:b/>
        </w:rPr>
        <w:t>ECHO</w:t>
      </w:r>
      <w:r>
        <w:t xml:space="preserve"> — QA and adversarial red-teaming</w:t>
      </w:r>
    </w:p>
    <w:p>
      <w:pPr>
        <w:pStyle w:val="ListBullet"/>
      </w:pPr>
      <w:r>
        <w:rPr>
          <w:b/>
        </w:rPr>
        <w:t>ORACLE</w:t>
      </w:r>
      <w:r>
        <w:t xml:space="preserve"> — Real-time market intelligence</w:t>
      </w:r>
    </w:p>
    <w:p>
      <w:pPr>
        <w:pStyle w:val="ListBullet"/>
      </w:pPr>
      <w:r>
        <w:rPr>
          <w:b/>
        </w:rPr>
        <w:t>DARWIN</w:t>
      </w:r>
      <w:r>
        <w:t xml:space="preserve"> — System evolution and capability analysis</w:t>
      </w:r>
    </w:p>
    <w:p>
      <w:pPr>
        <w:pStyle w:val="ListBullet"/>
      </w:pPr>
      <w:r>
        <w:rPr>
          <w:b/>
        </w:rPr>
        <w:t>GUIDE</w:t>
      </w:r>
      <w:r>
        <w:t xml:space="preserve"> — Documentation and teaching</w:t>
      </w:r>
    </w:p>
    <w:p>
      <w:pPr>
        <w:pStyle w:val="ListBullet"/>
      </w:pPr>
      <w:r>
        <w:rPr>
          <w:b/>
        </w:rPr>
        <w:t>SAGE</w:t>
      </w:r>
      <w:r>
        <w:t xml:space="preserve"> — Data analysis</w:t>
      </w:r>
    </w:p>
    <w:p>
      <w:r>
        <w:t>This is not a claim that AI agents replace human judgment on high-stakes decisions. They do not. It is a claim that the infrastructure exists to ensure that research, documentation, quality review, and strategy work are done systematically rather than casually — and that the output is version-controlled and reviewable.</w:t>
      </w:r>
    </w:p>
    <w:p>
      <w:pPr>
        <w:spacing w:before="200" w:after="80"/>
      </w:pPr>
      <w:r>
        <w:rPr>
          <w:b/>
          <w:color w:val="141413"/>
          <w:sz w:val="28"/>
        </w:rPr>
        <w:t>Clinical advisor search</w:t>
      </w:r>
    </w:p>
    <w:p>
      <w:r>
        <w:t>Active outreach to AFSP clinical partners is the highest-priority external relationship. The product's current crisis infrastructure was designed using published clinical frameworks (AFSP Safe Messaging Guidelines, Columbia Suicide Severity Rating Scale, DBT crisis protocols). It has not been reviewed by a named licensed clinician. That review is the gating condition for voice mode GA and for the Feature Readiness Standard's Tier 4 (CLINICALLY-VALIDATED) designation. The first hire or advisor relationship is a clinician, not an engineer.</w:t>
      </w:r>
    </w:p>
    <w:p>
      <w:pPr>
        <w:spacing w:before="200" w:after="80"/>
      </w:pPr>
      <w:r>
        <w:rPr>
          <w:b/>
          <w:color w:val="141413"/>
          <w:sz w:val="28"/>
        </w:rPr>
        <w:t>Organizational design</w:t>
      </w:r>
    </w:p>
    <w:p>
      <w:r>
        <w:t>The product is designed to operate without employees. It is also designed to scale with them when the time is right. Nothing in the architecture assumes a team of more than one. Nothing in the architecture prevents a team of ten.</w:t>
      </w:r>
    </w:p>
    <w:p>
      <w:pPr>
        <w:spacing w:before="80" w:after="80"/>
      </w:pPr>
      <w:r>
        <w:rPr>
          <w:color w:val="666666"/>
        </w:rPr>
        <w:t>──────────────────────────────────────────────────────────────────────</w:t>
      </w:r>
    </w:p>
    <w:p>
      <w:pPr>
        <w:spacing w:before="280" w:after="80"/>
      </w:pPr>
      <w:r>
        <w:rPr>
          <w:b/>
          <w:color w:val="141413"/>
          <w:sz w:val="36"/>
        </w:rPr>
        <w:t>8. Use of Funds</w:t>
      </w:r>
    </w:p>
    <w:p>
      <w:pPr>
        <w:spacing w:before="200" w:after="80"/>
      </w:pPr>
      <w:r>
        <w:rPr>
          <w:b/>
          <w:color w:val="141413"/>
          <w:sz w:val="28"/>
        </w:rPr>
        <w:t>Not raising aggressively</w:t>
      </w:r>
    </w:p>
    <w:p>
      <w:r>
        <w:t>If we raise: $500k–$1M seed at terms that preserve the founder's stance on product ethics. We are not raising because we have grown our way to a capital requirement. We are raising to buy 18 months of the product-safety investment that separates a welfare AI product from a wellness AI product — and to do so before scale creates pressure to compromise.</w:t>
      </w:r>
    </w:p>
    <w:p>
      <w:pPr>
        <w:spacing w:before="200" w:after="80"/>
      </w:pPr>
      <w:r>
        <w:rPr>
          <w:b/>
          <w:color w:val="141413"/>
          <w:sz w:val="28"/>
        </w:rPr>
        <w:t>Allocation</w:t>
      </w:r>
    </w:p>
    <w:p>
      <w:r>
        <w:rPr>
          <w:b/>
        </w:rPr>
        <w:t>40% — Clinical advisor and clinical review budget ($200k–$400k)</w:t>
      </w:r>
    </w:p>
    <w:p>
      <w:r>
        <w:t>The AFSP partnership path, the clinical advisor network for the Pro tier consultation feature, and the formal review of the crisis-detection module against AFSP Safe Messaging Guidelines all require sustained clinical relationship investment. This includes: clinical advisor retainer ($48k–$120k/year for a licensed psychiatrist or clinical psychologist with AI wellness experience), formal crisis module review ($15k–$30k), and a pilot clinical validation study for the Emergent Constellation system.</w:t>
      </w:r>
    </w:p>
    <w:p>
      <w:r>
        <w:rPr>
          <w:b/>
        </w:rPr>
        <w:t>25% — Voice and mobile engineering ($125k–$250k)</w:t>
      </w:r>
    </w:p>
    <w:p>
      <w:r>
        <w:t>Voice mode (AWS Transcribe + Polly + prosodic crisis detection) and the Capacitor-to-Flutter native mobile build are the two highest-impact product milestones. Both require engineering investment that exceeds solo-founder bandwidth at the pace the product requires.</w:t>
      </w:r>
    </w:p>
    <w:p>
      <w:r>
        <w:rPr>
          <w:b/>
        </w:rPr>
        <w:t>15% — SOC 2 Type II audit ($75k–$150k)</w:t>
      </w:r>
    </w:p>
    <w:p>
      <w:r>
        <w:t>Enterprise buyers and clinical partners require SOC 2. The current security posture is strong and HIPAA-hygiene compliant, but unaudited. SOC 2 Type II certification takes 9–12 months and costs approximately $15–40k/year in audit fees plus engineering preparation time. Beginning the process now allows enterprise sales to begin at the right moment.</w:t>
      </w:r>
    </w:p>
    <w:p>
      <w:r>
        <w:rPr>
          <w:b/>
        </w:rPr>
        <w:t>10% — Legal: 501(c)(3) crisis-layer spin-off ($50k–$100k)</w:t>
      </w:r>
    </w:p>
    <w:p>
      <w:r>
        <w:t>The crisis-detection module, safety archive, and clinical pattern library are correctly structured as a standalone non-profit entity. This creates structural separation between the for-profit product and the safety infrastructure, enables philanthropic funding for the safety work, and provides grant access for clinical research validation. Legal structure and IRS determination takes 12–18 months.</w:t>
      </w:r>
    </w:p>
    <w:p>
      <w:r>
        <w:rPr>
          <w:b/>
        </w:rPr>
        <w:t>10% — Runway ($50k–$100k)</w:t>
      </w:r>
    </w:p>
    <w:p>
      <w:r>
        <w:t>Infrastructure, legal, and operating costs for 18 months. At current AWS cost structure ($5–$50/month depending on usage), infrastructure burn is minimal. Legal and compliance costs are the primary ongoing fixed expense.</w:t>
      </w:r>
    </w:p>
    <w:p>
      <w:pPr>
        <w:spacing w:before="200" w:after="80"/>
      </w:pPr>
      <w:r>
        <w:rPr>
          <w:b/>
          <w:color w:val="141413"/>
          <w:sz w:val="28"/>
        </w:rPr>
        <w:t>Why small</w:t>
      </w:r>
    </w:p>
    <w:p>
      <w:r>
        <w:t>We do not want dilution that changes the product's stance. A $10M Series A with a board seat from a growth-stage fund comes with engagement SLAs, retention curve expectations, and implicit pressure to adopt the mechanics that produce those metrics. The $500k–$1M seed is sized specifically to remain fundable by investors whose capital does not create that pressure.</w:t>
      </w:r>
    </w:p>
    <w:p>
      <w:pPr>
        <w:spacing w:before="80" w:after="80"/>
      </w:pPr>
      <w:r>
        <w:rPr>
          <w:color w:val="666666"/>
        </w:rPr>
        <w:t>──────────────────────────────────────────────────────────────────────</w:t>
      </w:r>
    </w:p>
    <w:p>
      <w:pPr>
        <w:spacing w:before="280" w:after="80"/>
      </w:pPr>
      <w:r>
        <w:rPr>
          <w:b/>
          <w:color w:val="141413"/>
          <w:sz w:val="36"/>
        </w:rPr>
        <w:t>9. Risks and Mitigations</w:t>
      </w:r>
    </w:p>
    <w:p>
      <w:pPr>
        <w:spacing w:before="200" w:after="80"/>
      </w:pPr>
      <w:r>
        <w:rPr>
          <w:b/>
          <w:color w:val="141413"/>
          <w:sz w:val="28"/>
        </w:rPr>
        <w:t>Risk 1 — Regulatory creep (FDA SaMD expansion)</w:t>
      </w:r>
    </w:p>
    <w:p>
      <w:r>
        <w:t>The FDA's Software as a Medical Device guidance is expansive and actively evolving. If the product adds diagnostic claims, integrates with EHR systems, or positions itself as a clinical intervention rather than a wellness tool, it risks reclassification as a regulated medical device — a multi-year, multi-million-dollar regulatory path.</w:t>
      </w:r>
    </w:p>
    <w:p>
      <w:r>
        <w:rPr>
          <w:b/>
        </w:rPr>
        <w:t>Mitigation:</w:t>
      </w:r>
      <w:r>
        <w:t xml:space="preserve"> Terms of Service §3 and the /safety page both explicitly exclude medical claims. The product is positioned as a wellness tool, not a clinical intervention. Features that would require SaMD classification are not on the roadmap. FDA SaMD guidance is reviewed quarterly. Every new feature is evaluated against the SaMD classification criteria before the SKETCH stage.</w:t>
      </w:r>
    </w:p>
    <w:p>
      <w:pPr>
        <w:spacing w:before="200" w:after="80"/>
      </w:pPr>
      <w:r>
        <w:rPr>
          <w:b/>
          <w:color w:val="141413"/>
          <w:sz w:val="28"/>
        </w:rPr>
        <w:t>Risk 2 — Incumbent copy</w:t>
      </w:r>
    </w:p>
    <w:p>
      <w:r>
        <w:t>A well-resourced incumbent — Calm, Headspace, BetterHelp, or a new Anthropic or OpenAI consumer product — copies the contemplative mirror stance and ships it with their existing distribution.</w:t>
      </w:r>
    </w:p>
    <w:p>
      <w:r>
        <w:rPr>
          <w:b/>
        </w:rPr>
        <w:t>Mitigation:</w:t>
      </w:r>
      <w:r>
        <w:t xml:space="preserve"> They cannot adopt the monetization stance without destroying existing business models. The open-source crisis module cannot be co-opted without the clinical relationships that give it credibility. The Feature Readiness Standard, applied retroactively to an existing product, would require gate-failing most existing features. The documentation rigor takes years to build. Distribution can be copied; institutional trust cannot.</w:t>
      </w:r>
    </w:p>
    <w:p>
      <w:pPr>
        <w:spacing w:before="200" w:after="80"/>
      </w:pPr>
      <w:r>
        <w:rPr>
          <w:b/>
          <w:color w:val="141413"/>
          <w:sz w:val="28"/>
        </w:rPr>
        <w:t>Risk 3 — Model price changes</w:t>
      </w:r>
    </w:p>
    <w:p>
      <w:r>
        <w:t>Anthropic has repriced Claude models multiple times. A significant Bedrock price increase would materially affect unit economics at scale.</w:t>
      </w:r>
    </w:p>
    <w:p>
      <w:r>
        <w:rPr>
          <w:b/>
        </w:rPr>
        <w:t>Mitigation:</w:t>
      </w:r>
      <w:r>
        <w:t xml:space="preserve"> bedrock_client.py is the model abstraction layer — swapping to a different model or provider requires a single environment variable change, not a code deployment. pricing.py is the single source of truth for per-token costs — a pricing update propagates everywhere. All financial projections include a 50% cost increase buffer. The multi-provider roadmap (Bedrock primary, cross-region inference failover, fine-tuning path) reduces dependency on any single pricing decision.</w:t>
      </w:r>
    </w:p>
    <w:p>
      <w:pPr>
        <w:spacing w:before="200" w:after="80"/>
      </w:pPr>
      <w:r>
        <w:rPr>
          <w:b/>
          <w:color w:val="141413"/>
          <w:sz w:val="28"/>
        </w:rPr>
        <w:t>Risk 4 — Solo founder</w:t>
      </w:r>
    </w:p>
    <w:p>
      <w:r>
        <w:t>A single founder who is also the engineer, product manager, researcher, compliance officer, and operator is a concentration risk. Illness, burnout, or a single bad decision creates existential exposure.</w:t>
      </w:r>
    </w:p>
    <w:p>
      <w:r>
        <w:rPr>
          <w:b/>
        </w:rPr>
        <w:t>Mitigation:</w:t>
      </w:r>
      <w:r>
        <w:t xml:space="preserve"> TITAN's documentation architecture means the product's institutional knowledge is not in the founder's head. Every decision is logged to the Rough-Asks system. Every strategy document is version-controlled. The TITAN memory system means a future second founder, CTO, or key hire can be onboarded into the full strategic context in hours, not months. The documentation infrastructure that most companies build after Series A exists at pre-seed.</w:t>
      </w:r>
    </w:p>
    <w:p>
      <w:pPr>
        <w:spacing w:before="200" w:after="80"/>
      </w:pPr>
      <w:r>
        <w:rPr>
          <w:b/>
          <w:color w:val="141413"/>
          <w:sz w:val="28"/>
        </w:rPr>
        <w:t>Risk 5 — Crisis liability</w:t>
      </w:r>
    </w:p>
    <w:p>
      <w:r>
        <w:t>A user in crisis interacts with the product, the crisis system does not respond appropriately, and the user is harmed.</w:t>
      </w:r>
    </w:p>
    <w:p>
      <w:r>
        <w:rPr>
          <w:b/>
        </w:rPr>
        <w:t>Mitigation:</w:t>
      </w:r>
      <w:r>
        <w:t xml:space="preserve"> The crisis-detection module is open-sourced — its behavior is auditable by anyone. ECHO adversarial red-teaming is documented. The crisis footer is present in every session. The Feature Readiness Standard requires external clinical review before any crisis-adjacent feature reaches GA. The 501(c)(3) crisis-layer spin-off creates structural liability separation. Tech Errors &amp; Omissions insurance with explicit AI endorsement (Embroker / Counterpart) is in the budget. The immutable blockchain-anchored archive means the safety record cannot be altered retroactively.</w:t>
      </w:r>
    </w:p>
    <w:p>
      <w:pPr>
        <w:spacing w:before="80" w:after="80"/>
      </w:pPr>
      <w:r>
        <w:rPr>
          <w:color w:val="666666"/>
        </w:rPr>
        <w:t>──────────────────────────────────────────────────────────────────────</w:t>
      </w:r>
    </w:p>
    <w:p>
      <w:pPr>
        <w:spacing w:before="280" w:after="80"/>
      </w:pPr>
      <w:r>
        <w:rPr>
          <w:b/>
          <w:color w:val="141413"/>
          <w:sz w:val="36"/>
        </w:rPr>
        <w:t>10. The Ask</w:t>
      </w:r>
    </w:p>
    <w:p>
      <w:pPr>
        <w:spacing w:before="200" w:after="80"/>
      </w:pPr>
      <w:r>
        <w:rPr>
          <w:b/>
          <w:color w:val="141413"/>
          <w:sz w:val="28"/>
        </w:rPr>
        <w:t>What we need most</w:t>
      </w:r>
    </w:p>
    <w:p>
      <w:r>
        <w:t>We are not primarily looking for capital. We are looking for introductions.</w:t>
      </w:r>
    </w:p>
    <w:p>
      <w:r>
        <w:rPr>
          <w:b/>
        </w:rPr>
        <w:t>Intro to contemplative-friendly seed investors.</w:t>
      </w:r>
      <w:r>
        <w:t xml:space="preserve"> We are specifically not looking for growth-stage investors whose fund metrics require engagement optimization. We are looking for investors who understand that a business model aligned with user wellbeing is a sustainable competitive advantage, not a growth constraint. Funds with a track record in mental health, climate tech, or impact investing — where long-term value alignment is already part of the investment thesis — are the right fit.</w:t>
      </w:r>
    </w:p>
    <w:p>
      <w:r>
        <w:rPr>
          <w:b/>
        </w:rPr>
        <w:t>Intro to AFSP and clinical wellness advisors.</w:t>
      </w:r>
      <w:r>
        <w:t xml:space="preserve"> The American Foundation for Suicide Prevention is the single highest-priority external relationship. An introduction to AFSP's Technology Partnerships team, or to a licensed mental health professional with AI wellness advisory experience, is worth more at this stage than any capital commitment.</w:t>
      </w:r>
    </w:p>
    <w:p>
      <w:r>
        <w:rPr>
          <w:b/>
        </w:rPr>
        <w:t>Intro to enterprise wellness buyers.</w:t>
      </w:r>
      <w:r>
        <w:t xml:space="preserve"> HR leaders, Chief People Officers, and corporate wellness benefit managers at companies with 500+ employees are the Organization tier's initial customer profile. Early enterprise conversations will determine pricing, feature requirements, and sales motion before we invest in building the enterprise sales infrastructure.</w:t>
      </w:r>
    </w:p>
    <w:p>
      <w:pPr>
        <w:spacing w:before="200" w:after="80"/>
      </w:pPr>
      <w:r>
        <w:rPr>
          <w:b/>
          <w:color w:val="141413"/>
          <w:sz w:val="28"/>
        </w:rPr>
        <w:t>Optional: capital</w:t>
      </w:r>
    </w:p>
    <w:p>
      <w:r>
        <w:t>$500k–$1M seed at terms that preserve the founder's stance on product ethics. Preferred structure: SAFE at $5–8M cap, no discount, no pro-rata rights that would require future participation from investors whose capital comes with engagement-optimization expectations. Use of funds as described above. 18-month runway to: clinical advisor relationship signed, voice mode shipped and clinically reviewed, SOC 2 readiness initiated, 500+ paying users, 501(c)(3) crisis-layer structure filed.</w:t>
      </w:r>
    </w:p>
    <w:p>
      <w:pPr>
        <w:spacing w:before="80" w:after="80"/>
      </w:pPr>
      <w:r>
        <w:rPr>
          <w:color w:val="666666"/>
        </w:rPr>
        <w:t>──────────────────────────────────────────────────────────────────────</w:t>
      </w:r>
    </w:p>
    <w:p>
      <w:pPr>
        <w:spacing w:before="280" w:after="80"/>
      </w:pPr>
      <w:r>
        <w:rPr>
          <w:b/>
          <w:color w:val="141413"/>
          <w:sz w:val="36"/>
        </w:rPr>
        <w:t>11. Appendix — Document Library</w:t>
      </w:r>
    </w:p>
    <w:p>
      <w:r>
        <w:t>The following documents are available for review upon request. Together they constitute the full operational and strategic intelligence of Silent Infinity as of April 2026.</w:t>
      </w:r>
    </w:p>
    <w:p>
      <w:r>
        <w:rPr>
          <w:b/>
        </w:rPr>
        <w:t>SILENT-INFINITY-AUDIT-DOCUMENT-2026-04-21.md</w:t>
      </w:r>
    </w:p>
    <w:p>
      <w:r>
        <w:t>Full system architecture, AWS infrastructure design, security philosophy, SWOT analysis, regulatory compliance surface, Feature Readiness Standard implementation, and 180-day roadmap with eight decisions awaiting founder approval.</w:t>
      </w:r>
    </w:p>
    <w:p>
      <w:r>
        <w:rPr>
          <w:b/>
        </w:rPr>
        <w:t>EMERGENT-CONSTELLATION-PLAN-2026-04-21.md</w:t>
      </w:r>
    </w:p>
    <w:p>
      <w:r>
        <w:t>Eighteen-mechanism research-grounded design for emergent user growth visualization. Grounds the product's anti-gamification architecture in McAdams (2001), Deci (1971), Ryan &amp; Deci (2000), IFS (Schwartz), DBT (Linehan), and Pennebaker (1986).</w:t>
      </w:r>
    </w:p>
    <w:p>
      <w:r>
        <w:rPr>
          <w:b/>
        </w:rPr>
        <w:t>FEATURE-READINESS-STANDARD-2026-04-20.md</w:t>
      </w:r>
    </w:p>
    <w:p>
      <w:r>
        <w:t>The six-tier evidence-gated maturity framework governing every user-facing capability. Includes current feature inventory with tier assignments, testing thresholds per tier, and enforcement architecture. The product-liability defense document.</w:t>
      </w:r>
    </w:p>
    <w:p>
      <w:r>
        <w:rPr>
          <w:b/>
        </w:rPr>
        <w:t>SOUND-SCIENCE-MODES-RETENTION-2026-04-21.md</w:t>
      </w:r>
    </w:p>
    <w:p>
      <w:r>
        <w:t>Psychoacoustic and neurological basis for the pentatonic ping, binaural beat frequency modes, Dispenza-aligned solfeggio tracks, and ambient sound bed design. Cites Koelsch (2014), Terhardt (1974), and Brown &amp; Jordania (2013).</w:t>
      </w:r>
    </w:p>
    <w:p>
      <w:r>
        <w:rPr>
          <w:b/>
        </w:rPr>
        <w:t>USER-FEEDBACK-SYSTEM-2026-04-21.md</w:t>
      </w:r>
    </w:p>
    <w:p>
      <w:r>
        <w:t>Architecture for in-product feedback collection, turn-level rating widgets, and the feedback-to-iteration loop.</w:t>
      </w:r>
    </w:p>
    <w:p>
      <w:r>
        <w:rPr>
          <w:b/>
        </w:rPr>
        <w:t>ANALYTICS-DATA-COLLECTION-2026-04-21.md</w:t>
      </w:r>
    </w:p>
    <w:p>
      <w:r>
        <w:t>CloudWatch EMF metrics schema, behavioral analytics table design, and the data infrastructure for the Emergent Constellation tagging pipeline.</w:t>
      </w:r>
    </w:p>
    <w:p>
      <w:r>
        <w:rPr>
          <w:b/>
        </w:rPr>
        <w:t>MOBILE-APP-AUDIO-STRATEGY-2026-04-21.md</w:t>
      </w:r>
    </w:p>
    <w:p>
      <w:r>
        <w:t>Cross-platform mobile architecture (Capacitor → Flutter), background audio continuation design, and native iOS/Android feature parity roadmap.</w:t>
      </w:r>
    </w:p>
    <w:p>
      <w:r>
        <w:rPr>
          <w:b/>
        </w:rPr>
        <w:t>GROWING-TREE-FEATURE-2026-04-21.md</w:t>
      </w:r>
    </w:p>
    <w:p>
      <w:r>
        <w:t>The Growing Tree retention design — a visual metaphor that grows from conversational depth, not session frequency.</w:t>
      </w:r>
    </w:p>
    <w:p>
      <w:r>
        <w:rPr>
          <w:b/>
        </w:rPr>
        <w:t>PRESS-RELEASE-v1-2026-04-21.md</w:t>
      </w:r>
    </w:p>
    <w:p>
      <w:r>
        <w:t>The launch press release. Available for distribution to technology and health media, AWS startup channels, and mental health advocacy organizations.</w:t>
      </w:r>
    </w:p>
    <w:p>
      <w:r>
        <w:rPr>
          <w:b/>
        </w:rPr>
        <w:t>INVESTOR-MEMO-2026-04-21.md</w:t>
      </w:r>
    </w:p>
    <w:p>
      <w:r>
        <w:t>This document.</w:t>
      </w:r>
    </w:p>
    <w:p>
      <w:r>
        <w:t>For all inquiries: harnoors@gmail.com</w:t>
      </w:r>
    </w:p>
    <w:p>
      <w:r>
        <w:t>Product: silentinfinity.com</w:t>
      </w:r>
    </w:p>
    <w:p>
      <w:r>
        <w:t>Safety page: silentinfinity.com/safety</w:t>
      </w:r>
    </w:p>
    <w:p>
      <w:r>
        <w:t>Crisis module: github.com/silentinfinity/crisis-detection</w:t>
      </w:r>
    </w:p>
    <w:p>
      <w:pPr>
        <w:spacing w:before="80" w:after="80"/>
      </w:pPr>
      <w:r>
        <w:rPr>
          <w:color w:val="666666"/>
        </w:rPr>
        <w:t>──────────────────────────────────────────────────────────────────────</w:t>
      </w:r>
    </w:p>
    <w:p>
      <w:r>
        <w:rPr>
          <w:i/>
        </w:rPr>
        <w:t>This memo was written to be read by someone who has the intelligence to see past a pitch. Nothing has been inflated. The scale is stated honestly. The risks are stated honestly. The ask is specific. If any of this interests you, we would prefer a direct conversation to a deck.</w:t>
      </w:r>
    </w:p>
    <w:p>
      <w:r>
        <w:rPr>
          <w:i/>
        </w:rPr>
        <w:t>— Harnoor Minhas, April 2026</w:t>
      </w:r>
    </w:p>
    <w:p>
      <w:pPr>
        <w:spacing w:before="80" w:after="80"/>
      </w:pPr>
      <w:r>
        <w:rPr>
          <w:color w:val="666666"/>
        </w:rPr>
        <w:t>──────────────────────────────────────────────────────────────────────</w:t>
      </w:r>
    </w:p>
    <w:p>
      <w:r>
        <w:rPr>
          <w:b/>
        </w:rPr>
        <w:t>Document version:</w:t>
      </w:r>
      <w:r>
        <w:t xml:space="preserve"> 1.0</w:t>
      </w:r>
    </w:p>
    <w:p>
      <w:r>
        <w:rPr>
          <w:b/>
        </w:rPr>
        <w:t>Authored by:</w:t>
      </w:r>
      <w:r>
        <w:t xml:space="preserve"> SCOUT (TITAN research agent)</w:t>
      </w:r>
    </w:p>
    <w:p>
      <w:r>
        <w:rPr>
          <w:b/>
        </w:rPr>
        <w:t>Date:</w:t>
      </w:r>
      <w:r>
        <w:t xml:space="preserve"> 2026-04-21</w:t>
      </w:r>
    </w:p>
    <w:p>
      <w:r>
        <w:rPr>
          <w:b/>
        </w:rPr>
        <w:t>Classification:</w:t>
      </w:r>
      <w:r>
        <w:t xml:space="preserve"> Confidential — Seed / Pre-Seed Distribution</w:t>
      </w:r>
    </w:p>
    <w:p>
      <w:r>
        <w:rPr>
          <w:b/>
        </w:rPr>
        <w:t>Word count:</w:t>
      </w:r>
      <w:r>
        <w:t xml:space="preserve"> approximately 4,200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