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Key Insight</w:t>
      </w:r>
    </w:p>
    <w:p>
      <w:r>
        <w:t>Two security reports from April 2026 materially change the MCP threat model:</w:t>
      </w:r>
    </w:p>
    <w:p>
      <w:pPr>
        <w:pStyle w:val="ListNumber"/>
      </w:pPr>
      <w:r>
        <w:rPr>
          <w:b/>
        </w:rPr>
        <w:t>OX Security (April 2026):</w:t>
      </w:r>
      <w:r>
        <w:t xml:space="preserve"> Disclosed a systemic RCE vulnerability in all MCP SDK language implementations (Python, TypeScript, Go, Java). The attack surface is the MCP tool call input deserialization path. Patched in SDK updates released April-May 2026.</w:t>
      </w:r>
    </w:p>
    <w:p>
      <w:pPr>
        <w:pStyle w:val="ListNumber"/>
      </w:pPr>
      <w:r>
        <w:rPr>
          <w:b/>
        </w:rPr>
        <w:t>BlueRock Security (April 2026):</w:t>
      </w:r>
      <w:r>
        <w:t xml:space="preserve"> Audited public MCP server registry — 36.7% carry SSRF vulnerabilities, 41% have no authentication at all, only 8.5% use OAuth. Community-sourced servers are disproportionately risky.</w:t>
      </w:r>
    </w:p>
    <w:p>
      <w:r>
        <w:t>Streamable HTTP (replacing legacy SSE) adds a new attack surface: remote MCP servers are now internet-accessible services, not just local subprocesses.</w:t>
      </w:r>
    </w:p>
    <w:p>
      <w:r>
        <w:t>The MCP ecosystem has 22,775 registered servers as of May 2026 (Glama), but the majority are forks, abandoned, or unpatched. The practical safe set is much smaller.</w:t>
      </w:r>
    </w:p>
    <w:p>
      <w:pPr>
        <w:spacing w:before="280" w:after="80"/>
      </w:pPr>
      <w:r>
        <w:rPr>
          <w:b/>
          <w:color w:val="141413"/>
          <w:sz w:val="36"/>
        </w:rPr>
        <w:t>Action Items</w:t>
      </w:r>
    </w:p>
    <w:p>
      <w:pPr>
        <w:pStyle w:val="ListBullet"/>
      </w:pPr>
      <w:r>
        <w:t>Audit TITAN's MCP server list: confirm all SDKs are updated past the OX Security patch date (April-May 2026).</w:t>
      </w:r>
    </w:p>
    <w:p>
      <w:pPr>
        <w:pStyle w:val="ListBullet"/>
      </w:pPr>
      <w:r>
        <w:t>For any TITAN MCP server exposed via Streamable HTTP (not stdio), enforce OAuth — do not accept unauthenticated connections.</w:t>
      </w:r>
    </w:p>
    <w:p>
      <w:pPr>
        <w:pStyle w:val="ListBullet"/>
      </w:pPr>
      <w:r>
        <w:t>When adding new community MCP servers, verify: (1) last commit date, (2) auth method, (3) whether it is a fork of an active maintained project.</w:t>
      </w:r>
    </w:p>
    <w:p>
      <w:pPr>
        <w:pStyle w:val="ListBullet"/>
      </w:pPr>
      <w:r>
        <w:t>TITAN's local stdio MCPs (filesystem, memory, etc.) are not directly exposed to the SSRF vector — prioritize auditing any remote Streamable HTTP servers first.</w:t>
      </w:r>
    </w:p>
    <w:p>
      <w:pPr>
        <w:spacing w:before="280" w:after="80"/>
      </w:pPr>
      <w:r>
        <w:rPr>
          <w:b/>
          <w:color w:val="141413"/>
          <w:sz w:val="36"/>
        </w:rPr>
        <w:t>Relevance</w:t>
      </w:r>
    </w:p>
    <w:p>
      <w:pPr>
        <w:pStyle w:val="ListBullet"/>
      </w:pPr>
      <w:r>
        <w:t>TITAN infrastructure: TITAN runs multiple MCP servers. If any have migrated to Streamable HTTP transport, they need OAuth enforcement immediately.</w:t>
      </w:r>
    </w:p>
    <w:p>
      <w:pPr>
        <w:pStyle w:val="ListBullet"/>
      </w:pPr>
      <w:r>
        <w:t>Security posture: The 41% no-auth stat applies to public servers; TITAN's internal servers are isolated, but the RCE SDK vulnerability applies universally until patched.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