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Why CHILDHOOD Hooks</w:t>
      </w:r>
    </w:p>
    <w:p>
      <w:r>
        <w:t xml:space="preserve">CHILDHOOD lands on three well-mapped psychological circuits at once. </w:t>
      </w:r>
      <w:r>
        <w:rPr>
          <w:b/>
        </w:rPr>
        <w:t>Inner-child work</w:t>
      </w:r>
      <w:r>
        <w:t xml:space="preserve"> (Bradshaw, Schwartz's IFS) holds that adults carry a younger self whose unmet needs drive present-day reactivity; speaking </w:t>
      </w:r>
      <w:r>
        <w:rPr>
          <w:i/>
        </w:rPr>
        <w:t>to</w:t>
      </w:r>
      <w:r>
        <w:t xml:space="preserve"> that self is the standard intervention, and it's effortful, awkward, and rarely done. CHILDHOOD inverts the protocol — the child speaks first, which bypasses the adult's defensive scaffolding entirely. The user doesn't have to perform vulnerability; they just have to listen. Second, the notes trigger a </w:t>
      </w:r>
      <w:r>
        <w:rPr>
          <w:b/>
        </w:rPr>
        <w:t>warm-recognition response</w:t>
      </w:r>
      <w:r>
        <w:t xml:space="preserve">: being seen by someone who knew you before your accomplishments, before your titles, before your shame, produces a parasympathetic shift that mindfulness apps spend twenty minutes trying to engineer. Third, the device is </w:t>
      </w:r>
      <w:r>
        <w:rPr>
          <w:b/>
        </w:rPr>
        <w:t>time-anchored compassion</w:t>
      </w:r>
      <w:r>
        <w:t xml:space="preserve"> — the kid isn't judging the deploy or the missed swim from a moral height; he's just curious, the way 7-year-olds are, and curiosity from a loved version of yourself is functionally identical to grace. The hook isn't the feature. The hook is that for sixty seconds a day, you are not alone with the adult who's been carrying everything.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